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隶书" w:hAnsi="宋体" w:eastAsia="隶书"/>
          <w:bCs/>
          <w:color w:val="000000"/>
          <w:sz w:val="36"/>
          <w:szCs w:val="36"/>
        </w:rPr>
      </w:pPr>
      <w:r>
        <w:rPr>
          <w:rFonts w:hint="eastAsia" w:ascii="隶书" w:hAnsi="宋体" w:eastAsia="隶书"/>
          <w:bCs/>
          <w:color w:val="000000"/>
          <w:sz w:val="36"/>
          <w:szCs w:val="36"/>
        </w:rPr>
        <w:t>管理体系审核记录表</w:t>
      </w:r>
    </w:p>
    <w:tbl>
      <w:tblPr>
        <w:tblStyle w:val="8"/>
        <w:tblW w:w="147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"/>
        <w:gridCol w:w="2149"/>
        <w:gridCol w:w="960"/>
        <w:gridCol w:w="745"/>
        <w:gridCol w:w="9255"/>
        <w:gridCol w:w="15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2163" w:type="dxa"/>
            <w:gridSpan w:val="2"/>
            <w:vMerge w:val="restart"/>
            <w:vAlign w:val="center"/>
          </w:tcPr>
          <w:p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过程与活动、</w:t>
            </w:r>
          </w:p>
          <w:p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抽样计划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涉及</w:t>
            </w:r>
          </w:p>
          <w:p>
            <w:r>
              <w:rPr>
                <w:rFonts w:hint="eastAsia"/>
                <w:sz w:val="24"/>
                <w:szCs w:val="24"/>
              </w:rPr>
              <w:t>条款</w:t>
            </w:r>
          </w:p>
        </w:tc>
        <w:tc>
          <w:tcPr>
            <w:tcW w:w="10000" w:type="dxa"/>
            <w:gridSpan w:val="2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受审核部门：管理层 </w:t>
            </w:r>
            <w:r>
              <w:rPr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 xml:space="preserve">主管领导：贾正武    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 xml:space="preserve">陪同人员：贾正武   </w:t>
            </w:r>
          </w:p>
        </w:tc>
        <w:tc>
          <w:tcPr>
            <w:tcW w:w="1591" w:type="dxa"/>
            <w:vMerge w:val="restar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3" w:type="dxa"/>
            <w:gridSpan w:val="2"/>
            <w:vMerge w:val="continue"/>
            <w:vAlign w:val="center"/>
          </w:tcPr>
          <w:p/>
        </w:tc>
        <w:tc>
          <w:tcPr>
            <w:tcW w:w="960" w:type="dxa"/>
            <w:vMerge w:val="continue"/>
            <w:vAlign w:val="center"/>
          </w:tcPr>
          <w:p/>
        </w:tc>
        <w:tc>
          <w:tcPr>
            <w:tcW w:w="10000" w:type="dxa"/>
            <w:gridSpan w:val="2"/>
            <w:vAlign w:val="center"/>
          </w:tcPr>
          <w:p>
            <w:pPr>
              <w:spacing w:before="120"/>
            </w:pPr>
            <w:r>
              <w:rPr>
                <w:rFonts w:hint="eastAsia"/>
                <w:sz w:val="24"/>
                <w:szCs w:val="24"/>
              </w:rPr>
              <w:t xml:space="preserve">审核员：任泽华 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审核日期：</w:t>
            </w:r>
            <w:r>
              <w:rPr>
                <w:sz w:val="24"/>
                <w:szCs w:val="24"/>
              </w:rPr>
              <w:t xml:space="preserve"> 2022</w:t>
            </w:r>
            <w:r>
              <w:rPr>
                <w:rFonts w:hint="eastAsia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-2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591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3" w:type="dxa"/>
            <w:gridSpan w:val="2"/>
            <w:vMerge w:val="continue"/>
            <w:vAlign w:val="center"/>
          </w:tcPr>
          <w:p/>
        </w:tc>
        <w:tc>
          <w:tcPr>
            <w:tcW w:w="960" w:type="dxa"/>
            <w:vMerge w:val="continue"/>
            <w:vAlign w:val="center"/>
          </w:tcPr>
          <w:p/>
        </w:tc>
        <w:tc>
          <w:tcPr>
            <w:tcW w:w="10000" w:type="dxa"/>
            <w:gridSpan w:val="2"/>
            <w:vAlign w:val="center"/>
          </w:tcPr>
          <w:p>
            <w:pPr>
              <w:tabs>
                <w:tab w:val="left" w:pos="709"/>
              </w:tabs>
              <w:ind w:right="57"/>
              <w:jc w:val="left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审核条款：</w:t>
            </w:r>
            <w:r>
              <w:rPr>
                <w:rFonts w:hint="eastAsia"/>
                <w:szCs w:val="21"/>
              </w:rPr>
              <w:t>FSMS：4.1/4.2/4.3/4.4/5.1/5.2/5.3/6.1/6.2/6.3/7.1.1/</w:t>
            </w:r>
            <w:r>
              <w:rPr>
                <w:szCs w:val="21"/>
              </w:rPr>
              <w:t>7.4</w:t>
            </w:r>
            <w:r>
              <w:rPr>
                <w:rFonts w:hint="eastAsia"/>
                <w:szCs w:val="21"/>
              </w:rPr>
              <w:t>/9.1.1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9.3/10.2/10.3（远程：微信、腾讯会议、电话等）</w:t>
            </w:r>
          </w:p>
        </w:tc>
        <w:tc>
          <w:tcPr>
            <w:tcW w:w="1591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163" w:type="dxa"/>
            <w:gridSpan w:val="2"/>
            <w:vMerge w:val="restart"/>
          </w:tcPr>
          <w:p>
            <w:r>
              <w:rPr>
                <w:rFonts w:hint="eastAsia"/>
              </w:rPr>
              <w:t>理解组织及其环境</w:t>
            </w:r>
          </w:p>
        </w:tc>
        <w:tc>
          <w:tcPr>
            <w:tcW w:w="960" w:type="dxa"/>
            <w:vMerge w:val="restart"/>
          </w:tcPr>
          <w:p>
            <w:r>
              <w:rPr>
                <w:rFonts w:hint="eastAsia"/>
              </w:rPr>
              <w:t>F4.1</w:t>
            </w:r>
          </w:p>
        </w:tc>
        <w:tc>
          <w:tcPr>
            <w:tcW w:w="745" w:type="dxa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5" w:type="dxa"/>
          </w:tcPr>
          <w:p>
            <w:r>
              <w:rPr>
                <w:rFonts w:hint="eastAsia"/>
              </w:rPr>
              <w:t>如：</w:t>
            </w:r>
            <w:r>
              <w:rPr/>
              <w:sym w:font="Wingdings" w:char="00FE"/>
            </w:r>
            <w:r>
              <w:rPr>
                <w:rFonts w:hint="eastAsia"/>
              </w:rPr>
              <w:t>管理手册第4.1条款</w:t>
            </w:r>
          </w:p>
        </w:tc>
        <w:tc>
          <w:tcPr>
            <w:tcW w:w="1591" w:type="dxa"/>
            <w:vMerge w:val="restart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63" w:type="dxa"/>
            <w:gridSpan w:val="2"/>
            <w:vMerge w:val="continue"/>
          </w:tcPr>
          <w:p/>
        </w:tc>
        <w:tc>
          <w:tcPr>
            <w:tcW w:w="960" w:type="dxa"/>
            <w:vMerge w:val="continue"/>
          </w:tcPr>
          <w:p/>
        </w:tc>
        <w:tc>
          <w:tcPr>
            <w:tcW w:w="745" w:type="dxa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5" w:type="dxa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与最高管理者沟通，审核周期内没有发生重大变化：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组织的环境，提供了2</w:t>
            </w:r>
            <w:r>
              <w:rPr>
                <w:color w:val="000000"/>
                <w:szCs w:val="21"/>
              </w:rPr>
              <w:t>022.1.5</w:t>
            </w:r>
            <w:r>
              <w:rPr>
                <w:rFonts w:hint="eastAsia"/>
              </w:rPr>
              <w:t>《组织内部外部环境识别表》</w:t>
            </w:r>
            <w:r>
              <w:rPr>
                <w:rFonts w:hint="eastAsia"/>
                <w:color w:val="000000"/>
                <w:szCs w:val="21"/>
              </w:rPr>
              <w:t>：</w:t>
            </w:r>
          </w:p>
          <w:tbl>
            <w:tblPr>
              <w:tblStyle w:val="9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47"/>
              <w:gridCol w:w="737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47" w:type="dxa"/>
                </w:tcPr>
                <w:p>
                  <w:r>
                    <w:rPr>
                      <w:rFonts w:hint="eastAsia"/>
                    </w:rPr>
                    <w:t>外部环境</w:t>
                  </w:r>
                </w:p>
              </w:tc>
              <w:tc>
                <w:tcPr>
                  <w:tcW w:w="7375" w:type="dxa"/>
                </w:tcPr>
                <w:p>
                  <w:r>
                    <w:rPr>
                      <w:rFonts w:ascii="宋体" w:hAnsi="宋体"/>
                    </w:rPr>
                    <w:fldChar w:fldCharType="begin"/>
                  </w:r>
                  <w:r>
                    <w:rPr>
                      <w:rFonts w:ascii="宋体" w:hAnsi="宋体"/>
                    </w:rPr>
                    <w:instrText xml:space="preserve"> </w:instrText>
                  </w:r>
                  <w:r>
                    <w:rPr>
                      <w:rFonts w:hint="eastAsia" w:ascii="宋体" w:hAnsi="宋体"/>
                    </w:rPr>
                    <w:instrText xml:space="preserve">eq \o\ac(□,√)</w:instrText>
                  </w:r>
                  <w:r>
                    <w:rPr>
                      <w:rFonts w:ascii="宋体" w:hAnsi="宋体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法律法规 </w:t>
                  </w:r>
                  <w:r>
                    <w:rPr>
                      <w:rFonts w:hint="eastAsia"/>
                    </w:rPr>
                    <w:sym w:font="Wingdings 2" w:char="0052"/>
                  </w:r>
                  <w:r>
                    <w:rPr>
                      <w:rFonts w:hint="eastAsia"/>
                    </w:rPr>
                    <w:t xml:space="preserve">技术 </w:t>
                  </w:r>
                  <w:r>
                    <w:rPr>
                      <w:rFonts w:ascii="宋体" w:hAnsi="宋体"/>
                    </w:rPr>
                    <w:fldChar w:fldCharType="begin"/>
                  </w:r>
                  <w:r>
                    <w:rPr>
                      <w:rFonts w:ascii="宋体" w:hAnsi="宋体"/>
                    </w:rPr>
                    <w:instrText xml:space="preserve"> </w:instrText>
                  </w:r>
                  <w:r>
                    <w:rPr>
                      <w:rFonts w:hint="eastAsia" w:ascii="宋体" w:hAnsi="宋体"/>
                    </w:rPr>
                    <w:instrText xml:space="preserve">eq \o\ac(□,√)</w:instrText>
                  </w:r>
                  <w:r>
                    <w:rPr>
                      <w:rFonts w:ascii="宋体" w:hAnsi="宋体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竞争 </w:t>
                  </w:r>
                  <w:r>
                    <w:rPr>
                      <w:rFonts w:ascii="宋体" w:hAnsi="宋体"/>
                    </w:rPr>
                    <w:fldChar w:fldCharType="begin"/>
                  </w:r>
                  <w:r>
                    <w:rPr>
                      <w:rFonts w:ascii="宋体" w:hAnsi="宋体"/>
                    </w:rPr>
                    <w:instrText xml:space="preserve"> </w:instrText>
                  </w:r>
                  <w:r>
                    <w:rPr>
                      <w:rFonts w:hint="eastAsia" w:ascii="宋体" w:hAnsi="宋体"/>
                    </w:rPr>
                    <w:instrText xml:space="preserve">eq \o\ac(□,√)</w:instrText>
                  </w:r>
                  <w:r>
                    <w:rPr>
                      <w:rFonts w:ascii="宋体" w:hAnsi="宋体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市场 </w:t>
                  </w:r>
                  <w:r>
                    <w:rPr>
                      <w:rFonts w:ascii="宋体" w:hAnsi="宋体"/>
                    </w:rPr>
                    <w:fldChar w:fldCharType="begin"/>
                  </w:r>
                  <w:r>
                    <w:rPr>
                      <w:rFonts w:ascii="宋体" w:hAnsi="宋体"/>
                    </w:rPr>
                    <w:instrText xml:space="preserve"> </w:instrText>
                  </w:r>
                  <w:r>
                    <w:rPr>
                      <w:rFonts w:hint="eastAsia" w:ascii="宋体" w:hAnsi="宋体"/>
                    </w:rPr>
                    <w:instrText xml:space="preserve">eq \o\ac(□,√)</w:instrText>
                  </w:r>
                  <w:r>
                    <w:rPr>
                      <w:rFonts w:ascii="宋体" w:hAnsi="宋体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文化 </w:t>
                  </w:r>
                  <w:r>
                    <w:rPr>
                      <w:rFonts w:ascii="宋体" w:hAnsi="宋体"/>
                    </w:rPr>
                    <w:fldChar w:fldCharType="begin"/>
                  </w:r>
                  <w:r>
                    <w:rPr>
                      <w:rFonts w:ascii="宋体" w:hAnsi="宋体"/>
                    </w:rPr>
                    <w:instrText xml:space="preserve"> </w:instrText>
                  </w:r>
                  <w:r>
                    <w:rPr>
                      <w:rFonts w:hint="eastAsia" w:ascii="宋体" w:hAnsi="宋体"/>
                    </w:rPr>
                    <w:instrText xml:space="preserve">eq \o\ac(□,√)</w:instrText>
                  </w:r>
                  <w:r>
                    <w:rPr>
                      <w:rFonts w:ascii="宋体" w:hAnsi="宋体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社会 </w:t>
                  </w:r>
                  <w:r>
                    <w:rPr>
                      <w:rFonts w:ascii="宋体" w:hAnsi="宋体"/>
                    </w:rPr>
                    <w:fldChar w:fldCharType="begin"/>
                  </w:r>
                  <w:r>
                    <w:rPr>
                      <w:rFonts w:ascii="宋体" w:hAnsi="宋体"/>
                    </w:rPr>
                    <w:instrText xml:space="preserve"> </w:instrText>
                  </w:r>
                  <w:r>
                    <w:rPr>
                      <w:rFonts w:hint="eastAsia" w:ascii="宋体" w:hAnsi="宋体"/>
                    </w:rPr>
                    <w:instrText xml:space="preserve">eq \o\ac(□,√)</w:instrText>
                  </w:r>
                  <w:r>
                    <w:rPr>
                      <w:rFonts w:ascii="宋体" w:hAnsi="宋体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经济环境 </w:t>
                  </w:r>
                  <w:r>
                    <w:rPr>
                      <w:rFonts w:ascii="宋体" w:hAnsi="宋体"/>
                    </w:rPr>
                    <w:fldChar w:fldCharType="begin"/>
                  </w:r>
                  <w:r>
                    <w:rPr>
                      <w:rFonts w:ascii="宋体" w:hAnsi="宋体"/>
                    </w:rPr>
                    <w:instrText xml:space="preserve"> </w:instrText>
                  </w:r>
                  <w:r>
                    <w:rPr>
                      <w:rFonts w:hint="eastAsia" w:ascii="宋体" w:hAnsi="宋体"/>
                    </w:rPr>
                    <w:instrText xml:space="preserve">eq \o\ac(□,√)</w:instrText>
                  </w:r>
                  <w:r>
                    <w:rPr>
                      <w:rFonts w:ascii="宋体" w:hAnsi="宋体"/>
                    </w:rPr>
                    <w:fldChar w:fldCharType="end"/>
                  </w:r>
                  <w:r>
                    <w:rPr>
                      <w:rFonts w:hint="eastAsia"/>
                    </w:rPr>
                    <w:t>政治环境□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 xml:space="preserve">网络安全 </w:t>
                  </w:r>
                  <w:r>
                    <w:rPr>
                      <w:rFonts w:hint="eastAsia"/>
                    </w:rPr>
                    <w:sym w:font="Wingdings 2" w:char="0052"/>
                  </w:r>
                  <w:r>
                    <w:rPr>
                      <w:rFonts w:hint="eastAsia"/>
                      <w:color w:val="000000"/>
                      <w:szCs w:val="21"/>
                    </w:rPr>
                    <w:t xml:space="preserve">食品欺诈 </w:t>
                  </w:r>
                  <w:r>
                    <w:rPr>
                      <w:rFonts w:hint="eastAsia"/>
                    </w:rPr>
                    <w:sym w:font="Wingdings 2" w:char="0052"/>
                  </w:r>
                  <w:r>
                    <w:rPr>
                      <w:rFonts w:hint="eastAsia"/>
                      <w:color w:val="000000"/>
                      <w:szCs w:val="21"/>
                    </w:rPr>
                    <w:t xml:space="preserve">食品防护 </w:t>
                  </w:r>
                  <w:r>
                    <w:rPr>
                      <w:rFonts w:hint="eastAsia"/>
                    </w:rPr>
                    <w:sym w:font="Wingdings 2" w:char="0052"/>
                  </w:r>
                  <w:r>
                    <w:rPr>
                      <w:rFonts w:hint="eastAsia"/>
                      <w:color w:val="000000"/>
                      <w:szCs w:val="21"/>
                    </w:rPr>
                    <w:t xml:space="preserve">蓄意污染 </w:t>
                  </w:r>
                  <w:r>
                    <w:rPr>
                      <w:rFonts w:hint="eastAsia"/>
                    </w:rPr>
                    <w:t>□其他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47" w:type="dxa"/>
                </w:tcPr>
                <w:p>
                  <w:r>
                    <w:rPr>
                      <w:rFonts w:hint="eastAsia"/>
                    </w:rPr>
                    <w:t>列举主要的内容</w:t>
                  </w:r>
                </w:p>
              </w:tc>
              <w:tc>
                <w:tcPr>
                  <w:tcW w:w="7375" w:type="dxa"/>
                </w:tcPr>
                <w:p>
                  <w:r>
                    <w:rPr>
                      <w:rFonts w:hint="eastAsia" w:ascii="宋体" w:hAnsi="宋体"/>
                      <w:szCs w:val="21"/>
                    </w:rPr>
                    <w:t>国家飞行检查力度加大，对食品安全的监管力度越来越强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47" w:type="dxa"/>
                </w:tcPr>
                <w:p>
                  <w:r>
                    <w:rPr>
                      <w:rFonts w:hint="eastAsia"/>
                    </w:rPr>
                    <w:t>内部环境</w:t>
                  </w:r>
                </w:p>
              </w:tc>
              <w:tc>
                <w:tcPr>
                  <w:tcW w:w="7375" w:type="dxa"/>
                </w:tcPr>
                <w:p>
                  <w:r>
                    <w:rPr>
                      <w:rFonts w:ascii="宋体" w:hAnsi="宋体"/>
                    </w:rPr>
                    <w:fldChar w:fldCharType="begin"/>
                  </w:r>
                  <w:r>
                    <w:rPr>
                      <w:rFonts w:ascii="宋体" w:hAnsi="宋体"/>
                    </w:rPr>
                    <w:instrText xml:space="preserve"> </w:instrText>
                  </w:r>
                  <w:r>
                    <w:rPr>
                      <w:rFonts w:hint="eastAsia" w:ascii="宋体" w:hAnsi="宋体"/>
                    </w:rPr>
                    <w:instrText xml:space="preserve">eq \o\ac(□,√)</w:instrText>
                  </w:r>
                  <w:r>
                    <w:rPr>
                      <w:rFonts w:ascii="宋体" w:hAnsi="宋体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价值观  </w:t>
                  </w:r>
                  <w:r>
                    <w:rPr>
                      <w:rFonts w:ascii="宋体" w:hAnsi="宋体"/>
                    </w:rPr>
                    <w:fldChar w:fldCharType="begin"/>
                  </w:r>
                  <w:r>
                    <w:rPr>
                      <w:rFonts w:ascii="宋体" w:hAnsi="宋体"/>
                    </w:rPr>
                    <w:instrText xml:space="preserve"> </w:instrText>
                  </w:r>
                  <w:r>
                    <w:rPr>
                      <w:rFonts w:hint="eastAsia" w:ascii="宋体" w:hAnsi="宋体"/>
                    </w:rPr>
                    <w:instrText xml:space="preserve">eq \o\ac(□,√)</w:instrText>
                  </w:r>
                  <w:r>
                    <w:rPr>
                      <w:rFonts w:ascii="宋体" w:hAnsi="宋体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文化  </w:t>
                  </w:r>
                  <w:r>
                    <w:rPr>
                      <w:rFonts w:ascii="宋体" w:hAnsi="宋体"/>
                    </w:rPr>
                    <w:fldChar w:fldCharType="begin"/>
                  </w:r>
                  <w:r>
                    <w:rPr>
                      <w:rFonts w:ascii="宋体" w:hAnsi="宋体"/>
                    </w:rPr>
                    <w:instrText xml:space="preserve"> </w:instrText>
                  </w:r>
                  <w:r>
                    <w:rPr>
                      <w:rFonts w:hint="eastAsia" w:ascii="宋体" w:hAnsi="宋体"/>
                    </w:rPr>
                    <w:instrText xml:space="preserve">eq \o\ac(□,√)</w:instrText>
                  </w:r>
                  <w:r>
                    <w:rPr>
                      <w:rFonts w:ascii="宋体" w:hAnsi="宋体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知识 </w:t>
                  </w:r>
                  <w:r>
                    <w:rPr>
                      <w:rFonts w:ascii="宋体" w:hAnsi="宋体"/>
                    </w:rPr>
                    <w:fldChar w:fldCharType="begin"/>
                  </w:r>
                  <w:r>
                    <w:rPr>
                      <w:rFonts w:ascii="宋体" w:hAnsi="宋体"/>
                    </w:rPr>
                    <w:instrText xml:space="preserve"> </w:instrText>
                  </w:r>
                  <w:r>
                    <w:rPr>
                      <w:rFonts w:hint="eastAsia" w:ascii="宋体" w:hAnsi="宋体"/>
                    </w:rPr>
                    <w:instrText xml:space="preserve">eq \o\ac(□,√)</w:instrText>
                  </w:r>
                  <w:r>
                    <w:rPr>
                      <w:rFonts w:ascii="宋体" w:hAnsi="宋体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绩效 </w:t>
                  </w:r>
                  <w:r>
                    <w:rPr>
                      <w:rFonts w:hint="eastAsia"/>
                    </w:rPr>
                    <w:sym w:font="Wingdings 2" w:char="00A3"/>
                  </w:r>
                  <w:r>
                    <w:rPr>
                      <w:rFonts w:hint="eastAsia"/>
                    </w:rPr>
                    <w:t xml:space="preserve">工艺 </w:t>
                  </w:r>
                  <w:r>
                    <w:rPr>
                      <w:rFonts w:ascii="宋体" w:hAnsi="宋体"/>
                    </w:rPr>
                    <w:fldChar w:fldCharType="begin"/>
                  </w:r>
                  <w:r>
                    <w:rPr>
                      <w:rFonts w:ascii="宋体" w:hAnsi="宋体"/>
                    </w:rPr>
                    <w:instrText xml:space="preserve"> </w:instrText>
                  </w:r>
                  <w:r>
                    <w:rPr>
                      <w:rFonts w:hint="eastAsia" w:ascii="宋体" w:hAnsi="宋体"/>
                    </w:rPr>
                    <w:instrText xml:space="preserve">eq \o\ac(□,</w:instrText>
                  </w:r>
                  <w:r>
                    <w:rPr>
                      <w:rFonts w:hint="eastAsia" w:ascii="宋体" w:hAnsi="宋体"/>
                      <w:position w:val="2"/>
                      <w:sz w:val="13"/>
                    </w:rPr>
                    <w:instrText xml:space="preserve">√</w:instrText>
                  </w:r>
                  <w:r>
                    <w:rPr>
                      <w:rFonts w:hint="eastAsia" w:ascii="宋体" w:hAnsi="宋体"/>
                    </w:rPr>
                    <w:instrText xml:space="preserve">)</w:instrText>
                  </w:r>
                  <w:r>
                    <w:rPr>
                      <w:rFonts w:ascii="宋体" w:hAnsi="宋体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设备 </w:t>
                  </w:r>
                  <w:r>
                    <w:rPr>
                      <w:rFonts w:ascii="宋体" w:hAnsi="宋体"/>
                    </w:rPr>
                    <w:fldChar w:fldCharType="begin"/>
                  </w:r>
                  <w:r>
                    <w:rPr>
                      <w:rFonts w:ascii="宋体" w:hAnsi="宋体"/>
                    </w:rPr>
                    <w:instrText xml:space="preserve"> </w:instrText>
                  </w:r>
                  <w:r>
                    <w:rPr>
                      <w:rFonts w:hint="eastAsia" w:ascii="宋体" w:hAnsi="宋体"/>
                    </w:rPr>
                    <w:instrText xml:space="preserve">eq \o\ac(□,√)</w:instrText>
                  </w:r>
                  <w:r>
                    <w:rPr>
                      <w:rFonts w:ascii="宋体" w:hAnsi="宋体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人员能力 □其他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47" w:type="dxa"/>
                </w:tcPr>
                <w:p>
                  <w:r>
                    <w:rPr>
                      <w:rFonts w:hint="eastAsia"/>
                    </w:rPr>
                    <w:t>列举主要的内容</w:t>
                  </w:r>
                </w:p>
              </w:tc>
              <w:tc>
                <w:tcPr>
                  <w:tcW w:w="7375" w:type="dxa"/>
                </w:tcPr>
                <w:p>
                  <w:r>
                    <w:rPr>
                      <w:rFonts w:hint="eastAsia"/>
                    </w:rPr>
                    <w:t>对原料产品质量的认知能力高；管控严格；</w:t>
                  </w:r>
                </w:p>
                <w:p>
                  <w:pPr>
                    <w:pStyle w:val="5"/>
                  </w:pPr>
                  <w:r>
                    <w:rPr>
                      <w:rFonts w:hint="eastAsia"/>
                    </w:rPr>
                    <w:t>良好的企业文化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47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t>组织优势说明</w:t>
                  </w:r>
                </w:p>
              </w:tc>
              <w:tc>
                <w:tcPr>
                  <w:tcW w:w="7375" w:type="dxa"/>
                </w:tcPr>
                <w:p>
                  <w:r>
                    <w:rPr>
                      <w:rFonts w:hint="eastAsia"/>
                    </w:rPr>
                    <w:t>资金充足、占据调味品市场份额较大；</w:t>
                  </w:r>
                </w:p>
                <w:p>
                  <w:pPr>
                    <w:pStyle w:val="5"/>
                  </w:pPr>
                  <w:r>
                    <w:rPr>
                      <w:rFonts w:hint="eastAsia"/>
                      <w:sz w:val="21"/>
                      <w:szCs w:val="20"/>
                    </w:rPr>
                    <w:t>产地直采、管控严格；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47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t>组织劣势说明</w:t>
                  </w:r>
                </w:p>
              </w:tc>
              <w:tc>
                <w:tcPr>
                  <w:tcW w:w="7375" w:type="dxa"/>
                </w:tcPr>
                <w:p>
                  <w:pPr>
                    <w:rPr>
                      <w:rFonts w:ascii="宋体" w:hAnsi="宋体"/>
                      <w:kern w:val="0"/>
                      <w:szCs w:val="21"/>
                    </w:rPr>
                  </w:pPr>
                  <w:r>
                    <w:rPr>
                      <w:rFonts w:hint="eastAsia"/>
                    </w:rPr>
                    <w:t>公司受现有的场地限制，设施、设备已经趋于饱和，简单扩大产能已经无法实现，为公司发展提供限制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47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t>主要风险的说明</w:t>
                  </w:r>
                </w:p>
              </w:tc>
              <w:tc>
                <w:tcPr>
                  <w:tcW w:w="7375" w:type="dxa"/>
                </w:tcPr>
                <w:p>
                  <w:r>
                    <w:rPr>
                      <w:rFonts w:hint="eastAsia"/>
                    </w:rPr>
                    <w:t>原料品质把控不当，化学危害特性超标，导致产品质量不合格，市场退货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47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t>机遇的说明</w:t>
                  </w:r>
                </w:p>
              </w:tc>
              <w:tc>
                <w:tcPr>
                  <w:tcW w:w="7375" w:type="dxa"/>
                </w:tcPr>
                <w:p>
                  <w:r>
                    <w:rPr>
                      <w:rFonts w:hint="eastAsia" w:ascii="宋体" w:hAnsi="宋体" w:cs="宋体"/>
                      <w:szCs w:val="21"/>
                    </w:rPr>
                    <w:t>市场需求量较大，利用现有资源，开发及扩大市场，扩大服务范围</w:t>
                  </w:r>
                </w:p>
              </w:tc>
            </w:tr>
          </w:tbl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主要证据体现在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</w:instrText>
            </w:r>
            <w:r>
              <w:rPr>
                <w:rFonts w:hint="eastAsia" w:ascii="宋体" w:hAnsi="宋体"/>
                <w:position w:val="2"/>
                <w:sz w:val="13"/>
              </w:rPr>
              <w:instrText xml:space="preserve">√</w:instrText>
            </w:r>
            <w:r>
              <w:rPr>
                <w:rFonts w:hint="eastAsia" w:ascii="宋体" w:hAnsi="宋体"/>
              </w:rPr>
              <w:instrText xml:space="preserve">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 w:ascii="宋体" w:hAnsi="宋体"/>
              </w:rPr>
              <w:t>《组织内部外部环境识别表》、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《PEST分析企业外部环境因素及应对措施》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《组织及其环境分析表》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《年度业务计划》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其他</w:t>
            </w:r>
          </w:p>
        </w:tc>
        <w:tc>
          <w:tcPr>
            <w:tcW w:w="1591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163" w:type="dxa"/>
            <w:gridSpan w:val="2"/>
            <w:vMerge w:val="restart"/>
          </w:tcPr>
          <w:p>
            <w:r>
              <w:rPr>
                <w:rFonts w:hint="eastAsia"/>
              </w:rPr>
              <w:t>理解相关方的需求和期望</w:t>
            </w:r>
          </w:p>
        </w:tc>
        <w:tc>
          <w:tcPr>
            <w:tcW w:w="960" w:type="dxa"/>
            <w:vMerge w:val="restart"/>
          </w:tcPr>
          <w:p>
            <w:r>
              <w:rPr>
                <w:rFonts w:hint="eastAsia"/>
              </w:rPr>
              <w:t>F4.2</w:t>
            </w:r>
          </w:p>
        </w:tc>
        <w:tc>
          <w:tcPr>
            <w:tcW w:w="745" w:type="dxa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5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如：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</w:instrText>
            </w:r>
            <w:r>
              <w:rPr>
                <w:rFonts w:hint="eastAsia" w:ascii="宋体" w:hAnsi="宋体"/>
                <w:position w:val="2"/>
                <w:sz w:val="13"/>
              </w:rPr>
              <w:instrText xml:space="preserve">√</w:instrText>
            </w:r>
            <w:r>
              <w:rPr>
                <w:rFonts w:hint="eastAsia" w:ascii="宋体" w:hAnsi="宋体"/>
              </w:rPr>
              <w:instrText xml:space="preserve">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《相关方需求和期望控制程序》、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管理手册第4.2条款、</w:t>
            </w:r>
          </w:p>
          <w:p/>
        </w:tc>
        <w:tc>
          <w:tcPr>
            <w:tcW w:w="1591" w:type="dxa"/>
            <w:vMerge w:val="restart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4" w:hRule="atLeast"/>
        </w:trPr>
        <w:tc>
          <w:tcPr>
            <w:tcW w:w="2163" w:type="dxa"/>
            <w:gridSpan w:val="2"/>
            <w:vMerge w:val="continue"/>
          </w:tcPr>
          <w:p/>
        </w:tc>
        <w:tc>
          <w:tcPr>
            <w:tcW w:w="960" w:type="dxa"/>
            <w:vMerge w:val="continue"/>
          </w:tcPr>
          <w:p/>
        </w:tc>
        <w:tc>
          <w:tcPr>
            <w:tcW w:w="745" w:type="dxa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5" w:type="dxa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远程沟通抽查：</w:t>
            </w:r>
          </w:p>
          <w:tbl>
            <w:tblPr>
              <w:tblStyle w:val="9"/>
              <w:tblW w:w="8911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81"/>
              <w:gridCol w:w="2701"/>
              <w:gridCol w:w="472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1" w:type="dxa"/>
                </w:tcPr>
                <w:p>
                  <w:r>
                    <w:rPr>
                      <w:rFonts w:hint="eastAsia"/>
                    </w:rPr>
                    <w:t>重要的相关方</w:t>
                  </w:r>
                </w:p>
              </w:tc>
              <w:tc>
                <w:tcPr>
                  <w:tcW w:w="2701" w:type="dxa"/>
                </w:tcPr>
                <w:p>
                  <w:r>
                    <w:rPr>
                      <w:rFonts w:hint="eastAsia"/>
                    </w:rPr>
                    <w:t>相关方名称举例</w:t>
                  </w:r>
                </w:p>
              </w:tc>
              <w:tc>
                <w:tcPr>
                  <w:tcW w:w="4729" w:type="dxa"/>
                </w:tcPr>
                <w:p>
                  <w:r>
                    <w:rPr>
                      <w:rFonts w:hint="eastAsia"/>
                    </w:rPr>
                    <w:t>重要的相关方需求和希望（不必全选）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1" w:type="dxa"/>
                </w:tcPr>
                <w:p>
                  <w:r>
                    <w:rPr>
                      <w:rFonts w:ascii="宋体" w:hAnsi="宋体"/>
                    </w:rPr>
                    <w:fldChar w:fldCharType="begin"/>
                  </w:r>
                  <w:r>
                    <w:rPr>
                      <w:rFonts w:ascii="宋体" w:hAnsi="宋体"/>
                    </w:rPr>
                    <w:instrText xml:space="preserve"> </w:instrText>
                  </w:r>
                  <w:r>
                    <w:rPr>
                      <w:rFonts w:hint="eastAsia" w:ascii="宋体" w:hAnsi="宋体"/>
                    </w:rPr>
                    <w:instrText xml:space="preserve">eq \o\ac(□,√)</w:instrText>
                  </w:r>
                  <w:r>
                    <w:rPr>
                      <w:rFonts w:ascii="宋体" w:hAnsi="宋体"/>
                    </w:rPr>
                    <w:fldChar w:fldCharType="end"/>
                  </w:r>
                  <w:r>
                    <w:rPr>
                      <w:rFonts w:hint="eastAsia"/>
                    </w:rPr>
                    <w:t>主管部门</w:t>
                  </w:r>
                </w:p>
              </w:tc>
              <w:tc>
                <w:tcPr>
                  <w:tcW w:w="2701" w:type="dxa"/>
                </w:tcPr>
                <w:p>
                  <w:r>
                    <w:rPr>
                      <w:rFonts w:hint="eastAsia"/>
                    </w:rPr>
                    <w:t>肥东县市场监管局</w:t>
                  </w:r>
                </w:p>
              </w:tc>
              <w:tc>
                <w:tcPr>
                  <w:tcW w:w="4729" w:type="dxa"/>
                </w:tcPr>
                <w:p>
                  <w:r>
                    <w:rPr>
                      <w:rFonts w:ascii="宋体" w:hAnsi="宋体"/>
                    </w:rPr>
                    <w:fldChar w:fldCharType="begin"/>
                  </w:r>
                  <w:r>
                    <w:rPr>
                      <w:rFonts w:ascii="宋体" w:hAnsi="宋体"/>
                    </w:rPr>
                    <w:instrText xml:space="preserve"> </w:instrText>
                  </w:r>
                  <w:r>
                    <w:rPr>
                      <w:rFonts w:hint="eastAsia" w:ascii="宋体" w:hAnsi="宋体"/>
                    </w:rPr>
                    <w:instrText xml:space="preserve">eq \o\ac(□,√)</w:instrText>
                  </w:r>
                  <w:r>
                    <w:rPr>
                      <w:rFonts w:ascii="宋体" w:hAnsi="宋体"/>
                    </w:rPr>
                    <w:fldChar w:fldCharType="end"/>
                  </w:r>
                  <w:r>
                    <w:rPr>
                      <w:rFonts w:hint="eastAsia"/>
                    </w:rPr>
                    <w:t>遵守食品安全相关的法律法规</w:t>
                  </w:r>
                </w:p>
                <w:p>
                  <w:r>
                    <w:rPr>
                      <w:rFonts w:hint="eastAsia"/>
                    </w:rPr>
                    <w:t>□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1" w:type="dxa"/>
                </w:tcPr>
                <w:p>
                  <w:r>
                    <w:rPr>
                      <w:rFonts w:ascii="宋体" w:hAnsi="宋体"/>
                    </w:rPr>
                    <w:fldChar w:fldCharType="begin"/>
                  </w:r>
                  <w:r>
                    <w:rPr>
                      <w:rFonts w:ascii="宋体" w:hAnsi="宋体"/>
                    </w:rPr>
                    <w:instrText xml:space="preserve"> </w:instrText>
                  </w:r>
                  <w:r>
                    <w:rPr>
                      <w:rFonts w:hint="eastAsia" w:ascii="宋体" w:hAnsi="宋体"/>
                    </w:rPr>
                    <w:instrText xml:space="preserve">eq \o\ac(□,√)</w:instrText>
                  </w:r>
                  <w:r>
                    <w:rPr>
                      <w:rFonts w:ascii="宋体" w:hAnsi="宋体"/>
                    </w:rPr>
                    <w:fldChar w:fldCharType="end"/>
                  </w:r>
                  <w:r>
                    <w:rPr>
                      <w:rFonts w:hint="eastAsia"/>
                    </w:rPr>
                    <w:t>供方</w:t>
                  </w:r>
                </w:p>
              </w:tc>
              <w:tc>
                <w:tcPr>
                  <w:tcW w:w="2701" w:type="dxa"/>
                </w:tcPr>
                <w:p>
                  <w:r>
                    <w:rPr>
                      <w:rFonts w:hint="eastAsia"/>
                    </w:rPr>
                    <w:t>安徽华猫软包装有限公司；</w:t>
                  </w:r>
                </w:p>
                <w:p>
                  <w:pPr>
                    <w:pStyle w:val="2"/>
                  </w:pPr>
                  <w:r>
                    <w:rPr>
                      <w:rFonts w:hint="eastAsia"/>
                    </w:rPr>
                    <w:t>济南市莱芜区业祥花椒专业合作社</w:t>
                  </w:r>
                </w:p>
              </w:tc>
              <w:tc>
                <w:tcPr>
                  <w:tcW w:w="4729" w:type="dxa"/>
                </w:tcPr>
                <w:p>
                  <w:r>
                    <w:rPr>
                      <w:rFonts w:ascii="宋体" w:hAnsi="宋体"/>
                    </w:rPr>
                    <w:fldChar w:fldCharType="begin"/>
                  </w:r>
                  <w:r>
                    <w:rPr>
                      <w:rFonts w:ascii="宋体" w:hAnsi="宋体"/>
                    </w:rPr>
                    <w:instrText xml:space="preserve"> </w:instrText>
                  </w:r>
                  <w:r>
                    <w:rPr>
                      <w:rFonts w:hint="eastAsia" w:ascii="宋体" w:hAnsi="宋体"/>
                    </w:rPr>
                    <w:instrText xml:space="preserve">eq \o\ac(□,√)</w:instrText>
                  </w:r>
                  <w:r>
                    <w:rPr>
                      <w:rFonts w:ascii="宋体" w:hAnsi="宋体"/>
                    </w:rPr>
                    <w:fldChar w:fldCharType="end"/>
                  </w:r>
                  <w:r>
                    <w:rPr>
                      <w:rFonts w:hint="eastAsia"/>
                    </w:rPr>
                    <w:t>组织的持续经营、明示食品安全采购要求</w:t>
                  </w:r>
                </w:p>
                <w:p>
                  <w:r>
                    <w:rPr>
                      <w:rFonts w:hint="eastAsia"/>
                    </w:rPr>
                    <w:t>□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1" w:type="dxa"/>
                </w:tcPr>
                <w:p>
                  <w:r>
                    <w:rPr>
                      <w:rFonts w:hint="eastAsia"/>
                    </w:rPr>
                    <w:t>☑顾客</w:t>
                  </w:r>
                </w:p>
              </w:tc>
              <w:tc>
                <w:tcPr>
                  <w:tcW w:w="2701" w:type="dxa"/>
                </w:tcPr>
                <w:p>
                  <w:r>
                    <w:rPr>
                      <w:rFonts w:hint="eastAsia"/>
                    </w:rPr>
                    <w:t>永辉超市；中百仓储；大润发超市</w:t>
                  </w:r>
                </w:p>
              </w:tc>
              <w:tc>
                <w:tcPr>
                  <w:tcW w:w="4729" w:type="dxa"/>
                </w:tcPr>
                <w:p>
                  <w:r>
                    <w:rPr>
                      <w:rFonts w:ascii="宋体" w:hAnsi="宋体"/>
                    </w:rPr>
                    <w:fldChar w:fldCharType="begin"/>
                  </w:r>
                  <w:r>
                    <w:rPr>
                      <w:rFonts w:ascii="宋体" w:hAnsi="宋体"/>
                    </w:rPr>
                    <w:instrText xml:space="preserve"> </w:instrText>
                  </w:r>
                  <w:r>
                    <w:rPr>
                      <w:rFonts w:hint="eastAsia" w:ascii="宋体" w:hAnsi="宋体"/>
                    </w:rPr>
                    <w:instrText xml:space="preserve">eq \o\ac(□,√)</w:instrText>
                  </w:r>
                  <w:r>
                    <w:rPr>
                      <w:rFonts w:ascii="宋体" w:hAnsi="宋体"/>
                    </w:rPr>
                    <w:fldChar w:fldCharType="end"/>
                  </w:r>
                  <w:r>
                    <w:rPr>
                      <w:rFonts w:hint="eastAsia"/>
                    </w:rPr>
                    <w:t>按时按质按量交付产品或服务；</w:t>
                  </w:r>
                </w:p>
                <w:p>
                  <w:r>
                    <w:rPr>
                      <w:rFonts w:ascii="宋体" w:hAnsi="宋体"/>
                    </w:rPr>
                    <w:fldChar w:fldCharType="begin"/>
                  </w:r>
                  <w:r>
                    <w:rPr>
                      <w:rFonts w:ascii="宋体" w:hAnsi="宋体"/>
                    </w:rPr>
                    <w:instrText xml:space="preserve"> </w:instrText>
                  </w:r>
                  <w:r>
                    <w:rPr>
                      <w:rFonts w:hint="eastAsia" w:ascii="宋体" w:hAnsi="宋体"/>
                    </w:rPr>
                    <w:instrText xml:space="preserve">eq \o\ac(□,√)</w:instrText>
                  </w:r>
                  <w:r>
                    <w:rPr>
                      <w:rFonts w:ascii="宋体" w:hAnsi="宋体"/>
                    </w:rPr>
                    <w:fldChar w:fldCharType="end"/>
                  </w:r>
                  <w:r>
                    <w:rPr>
                      <w:rFonts w:hint="eastAsia"/>
                    </w:rPr>
                    <w:t>产品/服务质量持续满足要求</w:t>
                  </w:r>
                </w:p>
                <w:p>
                  <w:pPr>
                    <w:ind w:left="210" w:hanging="210" w:hangingChars="100"/>
                  </w:pPr>
                  <w:r>
                    <w:rPr>
                      <w:rFonts w:hint="eastAsia"/>
                    </w:rPr>
                    <w:t>☑不因食品安全问题影响按时按质按量交付产品或服务；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1" w:type="dxa"/>
                </w:tcPr>
                <w:p>
                  <w:r>
                    <w:rPr>
                      <w:rFonts w:ascii="宋体" w:hAnsi="宋体"/>
                    </w:rPr>
                    <w:fldChar w:fldCharType="begin"/>
                  </w:r>
                  <w:r>
                    <w:rPr>
                      <w:rFonts w:ascii="宋体" w:hAnsi="宋体"/>
                    </w:rPr>
                    <w:instrText xml:space="preserve"> </w:instrText>
                  </w:r>
                  <w:r>
                    <w:rPr>
                      <w:rFonts w:hint="eastAsia" w:ascii="宋体" w:hAnsi="宋体"/>
                    </w:rPr>
                    <w:instrText xml:space="preserve">eq \o\ac(□,√)</w:instrText>
                  </w:r>
                  <w:r>
                    <w:rPr>
                      <w:rFonts w:ascii="宋体" w:hAnsi="宋体"/>
                    </w:rPr>
                    <w:fldChar w:fldCharType="end"/>
                  </w:r>
                  <w:r>
                    <w:rPr>
                      <w:rFonts w:hint="eastAsia"/>
                    </w:rPr>
                    <w:t>消费者</w:t>
                  </w:r>
                </w:p>
              </w:tc>
              <w:tc>
                <w:tcPr>
                  <w:tcW w:w="2701" w:type="dxa"/>
                </w:tcPr>
                <w:p>
                  <w:r>
                    <w:rPr>
                      <w:rFonts w:hint="eastAsia" w:ascii="宋体" w:hAnsi="宋体" w:cs="宋体"/>
                      <w:szCs w:val="21"/>
                    </w:rPr>
                    <w:t>普通大众群体</w:t>
                  </w:r>
                </w:p>
              </w:tc>
              <w:tc>
                <w:tcPr>
                  <w:tcW w:w="4729" w:type="dxa"/>
                </w:tcPr>
                <w:p>
                  <w:r>
                    <w:rPr>
                      <w:rFonts w:hint="eastAsia"/>
                    </w:rPr>
                    <w:t>☑良好的使用感受</w:t>
                  </w:r>
                </w:p>
                <w:p>
                  <w:r>
                    <w:rPr>
                      <w:rFonts w:hint="eastAsia"/>
                    </w:rPr>
                    <w:t>☑不因食品安全问题带来健康损害和生命威胁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1" w:type="dxa"/>
                </w:tcPr>
                <w:p>
                  <w:pPr>
                    <w:rPr>
                      <w:szCs w:val="24"/>
                    </w:rPr>
                  </w:pPr>
                  <w:r>
                    <w:rPr>
                      <w:rFonts w:hint="eastAsia"/>
                    </w:rPr>
                    <w:sym w:font="Wingdings 2" w:char="0052"/>
                  </w:r>
                  <w:r>
                    <w:rPr>
                      <w:rFonts w:hint="eastAsia"/>
                    </w:rPr>
                    <w:t>员工</w:t>
                  </w:r>
                </w:p>
              </w:tc>
              <w:tc>
                <w:tcPr>
                  <w:tcW w:w="2701" w:type="dxa"/>
                </w:tcPr>
                <w:p>
                  <w:pPr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雇员</w:t>
                  </w:r>
                </w:p>
              </w:tc>
              <w:tc>
                <w:tcPr>
                  <w:tcW w:w="4729" w:type="dxa"/>
                </w:tcPr>
                <w:p>
                  <w:r>
                    <w:rPr>
                      <w:rFonts w:hint="eastAsia"/>
                    </w:rPr>
                    <w:t>☑组织的持续经营、自我发展</w:t>
                  </w:r>
                </w:p>
                <w:p>
                  <w:r>
                    <w:rPr>
                      <w:rFonts w:hint="eastAsia"/>
                    </w:rPr>
                    <w:t>☑不因食品安全问题停产，组织持续经营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1" w:type="dxa"/>
                </w:tcPr>
                <w:p>
                  <w:r>
                    <w:rPr>
                      <w:rFonts w:hint="eastAsia"/>
                    </w:rPr>
                    <w:sym w:font="Wingdings 2" w:char="0052"/>
                  </w:r>
                  <w:r>
                    <w:rPr>
                      <w:rFonts w:hint="eastAsia"/>
                    </w:rPr>
                    <w:t>投资方</w:t>
                  </w:r>
                </w:p>
              </w:tc>
              <w:tc>
                <w:tcPr>
                  <w:tcW w:w="2701" w:type="dxa"/>
                </w:tcPr>
                <w:p>
                  <w:r>
                    <w:rPr>
                      <w:rFonts w:hint="eastAsia"/>
                    </w:rPr>
                    <w:t>自然人</w:t>
                  </w:r>
                </w:p>
              </w:tc>
              <w:tc>
                <w:tcPr>
                  <w:tcW w:w="4729" w:type="dxa"/>
                </w:tcPr>
                <w:p>
                  <w:r>
                    <w:rPr>
                      <w:rFonts w:ascii="宋体" w:hAnsi="宋体"/>
                    </w:rPr>
                    <w:fldChar w:fldCharType="begin"/>
                  </w:r>
                  <w:r>
                    <w:rPr>
                      <w:rFonts w:ascii="宋体" w:hAnsi="宋体"/>
                    </w:rPr>
                    <w:instrText xml:space="preserve"> </w:instrText>
                  </w:r>
                  <w:r>
                    <w:rPr>
                      <w:rFonts w:hint="eastAsia" w:ascii="宋体" w:hAnsi="宋体"/>
                    </w:rPr>
                    <w:instrText xml:space="preserve">eq \o\ac(□,</w:instrText>
                  </w:r>
                  <w:r>
                    <w:rPr>
                      <w:rFonts w:hint="eastAsia" w:ascii="宋体" w:hAnsi="宋体"/>
                      <w:position w:val="2"/>
                      <w:sz w:val="13"/>
                    </w:rPr>
                    <w:instrText xml:space="preserve">√</w:instrText>
                  </w:r>
                  <w:r>
                    <w:rPr>
                      <w:rFonts w:hint="eastAsia" w:ascii="宋体" w:hAnsi="宋体"/>
                    </w:rPr>
                    <w:instrText xml:space="preserve">)</w:instrText>
                  </w:r>
                  <w:r>
                    <w:rPr>
                      <w:rFonts w:ascii="宋体" w:hAnsi="宋体"/>
                    </w:rPr>
                    <w:fldChar w:fldCharType="end"/>
                  </w:r>
                  <w:r>
                    <w:rPr>
                      <w:rFonts w:hint="eastAsia"/>
                    </w:rPr>
                    <w:t>组织的持续经营、盈利</w:t>
                  </w:r>
                </w:p>
                <w:p>
                  <w:r>
                    <w:rPr>
                      <w:rFonts w:hint="eastAsia"/>
                    </w:rPr>
                    <w:sym w:font="Wingdings 2" w:char="0052"/>
                  </w:r>
                  <w:r>
                    <w:rPr>
                      <w:rFonts w:hint="eastAsia"/>
                    </w:rPr>
                    <w:t>不因食品安全问题停产，组织持续经营、盈利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481" w:type="dxa"/>
                </w:tcPr>
                <w:p>
                  <w:r>
                    <w:rPr>
                      <w:rFonts w:hint="eastAsia"/>
                    </w:rPr>
                    <w:sym w:font="Wingdings 2" w:char="00A3"/>
                  </w:r>
                  <w:r>
                    <w:rPr>
                      <w:rFonts w:hint="eastAsia"/>
                    </w:rPr>
                    <w:t>社区</w:t>
                  </w:r>
                </w:p>
              </w:tc>
              <w:tc>
                <w:tcPr>
                  <w:tcW w:w="2701" w:type="dxa"/>
                </w:tcPr>
                <w:p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4729" w:type="dxa"/>
                </w:tcPr>
                <w:p>
                  <w:r>
                    <w:rPr>
                      <w:rFonts w:hint="eastAsia"/>
                    </w:rPr>
                    <w:sym w:font="Wingdings 2" w:char="00A3"/>
                  </w:r>
                  <w:r>
                    <w:rPr>
                      <w:rFonts w:hint="eastAsia"/>
                    </w:rPr>
                    <w:t>不因食品安全问题影响周围人员的就业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1" w:type="dxa"/>
                </w:tcPr>
                <w:p>
                  <w:r>
                    <w:rPr>
                      <w:rFonts w:hint="eastAsia"/>
                    </w:rPr>
                    <w:t>□其他</w:t>
                  </w:r>
                </w:p>
              </w:tc>
              <w:tc>
                <w:tcPr>
                  <w:tcW w:w="2701" w:type="dxa"/>
                </w:tcPr>
                <w:p/>
              </w:tc>
              <w:tc>
                <w:tcPr>
                  <w:tcW w:w="4729" w:type="dxa"/>
                </w:tcPr>
                <w:p/>
              </w:tc>
            </w:tr>
          </w:tbl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主要证据体现在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</w:instrText>
            </w:r>
            <w:r>
              <w:rPr>
                <w:rFonts w:hint="eastAsia" w:ascii="宋体" w:hAnsi="宋体"/>
                <w:position w:val="2"/>
                <w:sz w:val="13"/>
              </w:rPr>
              <w:instrText xml:space="preserve">√</w:instrText>
            </w:r>
            <w:r>
              <w:rPr>
                <w:rFonts w:hint="eastAsia" w:ascii="宋体" w:hAnsi="宋体"/>
              </w:rPr>
              <w:instrText xml:space="preserve">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 w:ascii="宋体" w:hAnsi="宋体"/>
              </w:rPr>
              <w:t>《相关方期望要求识别表》、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《相关方的需求和期望分析表》、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《年度业务计划》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其他</w:t>
            </w:r>
          </w:p>
        </w:tc>
        <w:tc>
          <w:tcPr>
            <w:tcW w:w="1591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163" w:type="dxa"/>
            <w:gridSpan w:val="2"/>
            <w:vMerge w:val="restart"/>
            <w:shd w:val="clear" w:color="auto" w:fill="auto"/>
          </w:tcPr>
          <w:p>
            <w:r>
              <w:rPr>
                <w:rFonts w:hint="eastAsia"/>
              </w:rPr>
              <w:t>确定食品安全管理体系的范围</w:t>
            </w:r>
          </w:p>
        </w:tc>
        <w:tc>
          <w:tcPr>
            <w:tcW w:w="960" w:type="dxa"/>
            <w:vMerge w:val="restart"/>
            <w:shd w:val="clear" w:color="auto" w:fill="auto"/>
          </w:tcPr>
          <w:p>
            <w:r>
              <w:rPr>
                <w:rFonts w:hint="eastAsia"/>
              </w:rPr>
              <w:t>F4.3</w:t>
            </w:r>
          </w:p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5" w:type="dxa"/>
            <w:shd w:val="clear" w:color="auto" w:fill="auto"/>
          </w:tcPr>
          <w:p>
            <w:r>
              <w:rPr>
                <w:rFonts w:hint="eastAsia"/>
              </w:rPr>
              <w:t>如：管理手册第4.3条款</w:t>
            </w:r>
          </w:p>
        </w:tc>
        <w:tc>
          <w:tcPr>
            <w:tcW w:w="1591" w:type="dxa"/>
            <w:vMerge w:val="restart"/>
            <w:shd w:val="clear" w:color="auto" w:fill="auto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2163" w:type="dxa"/>
            <w:gridSpan w:val="2"/>
            <w:vMerge w:val="continue"/>
            <w:shd w:val="clear" w:color="auto" w:fill="auto"/>
          </w:tcPr>
          <w:p/>
        </w:tc>
        <w:tc>
          <w:tcPr>
            <w:tcW w:w="960" w:type="dxa"/>
            <w:vMerge w:val="continue"/>
            <w:shd w:val="clear" w:color="auto" w:fill="auto"/>
          </w:tcPr>
          <w:p/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5" w:type="dxa"/>
            <w:shd w:val="clear" w:color="auto" w:fill="auto"/>
          </w:tcPr>
          <w:p>
            <w:r>
              <w:rPr>
                <w:rFonts w:hint="eastAsia"/>
              </w:rPr>
              <w:t>组织应明确相关管理体系的范围；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11"/>
              <w:gridCol w:w="5446"/>
              <w:gridCol w:w="168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11" w:type="dxa"/>
                </w:tcPr>
                <w:p>
                  <w:r>
                    <w:rPr>
                      <w:rFonts w:hint="eastAsia"/>
                    </w:rPr>
                    <w:t>范围的项目</w:t>
                  </w:r>
                </w:p>
              </w:tc>
              <w:tc>
                <w:tcPr>
                  <w:tcW w:w="5446" w:type="dxa"/>
                </w:tcPr>
                <w:p>
                  <w:r>
                    <w:rPr>
                      <w:rFonts w:hint="eastAsia"/>
                    </w:rPr>
                    <w:t>内容描述</w:t>
                  </w:r>
                </w:p>
              </w:tc>
              <w:tc>
                <w:tcPr>
                  <w:tcW w:w="1686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11" w:type="dxa"/>
                </w:tcPr>
                <w:p>
                  <w:r>
                    <w:rPr>
                      <w:rFonts w:hint="eastAsia"/>
                    </w:rPr>
                    <w:t>产品/服务的活动</w:t>
                  </w:r>
                </w:p>
              </w:tc>
              <w:tc>
                <w:tcPr>
                  <w:tcW w:w="5446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szCs w:val="21"/>
                    </w:rPr>
                    <w:t>调味</w:t>
                  </w:r>
                  <w:r>
                    <w:rPr>
                      <w:rFonts w:hint="eastAsia"/>
                      <w:szCs w:val="21"/>
                    </w:rPr>
                    <w:t>品</w:t>
                  </w:r>
                  <w:r>
                    <w:rPr>
                      <w:szCs w:val="21"/>
                    </w:rPr>
                    <w:t>【固态调味料（香辛料粉、香辛料）】的生产</w:t>
                  </w:r>
                </w:p>
              </w:tc>
              <w:tc>
                <w:tcPr>
                  <w:tcW w:w="1686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11" w:type="dxa"/>
                </w:tcPr>
                <w:p>
                  <w:r>
                    <w:rPr>
                      <w:rFonts w:hint="eastAsia"/>
                    </w:rPr>
                    <w:t xml:space="preserve">审核范围描述 </w:t>
                  </w:r>
                </w:p>
              </w:tc>
              <w:tc>
                <w:tcPr>
                  <w:tcW w:w="5446" w:type="dxa"/>
                </w:tcPr>
                <w:p>
                  <w:pPr>
                    <w:autoSpaceDE w:val="0"/>
                    <w:autoSpaceDN w:val="0"/>
                    <w:adjustRightInd w:val="0"/>
                    <w:jc w:val="left"/>
                  </w:pPr>
                  <w:r>
                    <w:rPr>
                      <w:rFonts w:hint="eastAsia" w:asciiTheme="minorEastAsia" w:hAnsiTheme="minorEastAsia" w:eastAsiaTheme="minorEastAsia"/>
                      <w:sz w:val="20"/>
                    </w:rPr>
                    <w:t>位于安徽省合肥市</w:t>
                  </w:r>
                  <w:r>
                    <w:rPr>
                      <w:rFonts w:asciiTheme="minorEastAsia" w:hAnsiTheme="minorEastAsia" w:eastAsiaTheme="minorEastAsia"/>
                      <w:sz w:val="20"/>
                    </w:rPr>
                    <w:t>肥东县肥东经济开发区新安江路10号</w:t>
                  </w:r>
                  <w:r>
                    <w:rPr>
                      <w:szCs w:val="21"/>
                    </w:rPr>
                    <w:t>安徽柳燕堂食品有限公司</w:t>
                  </w:r>
                  <w:r>
                    <w:rPr>
                      <w:rFonts w:hint="eastAsia"/>
                      <w:szCs w:val="21"/>
                    </w:rPr>
                    <w:t>生产车间的</w:t>
                  </w:r>
                  <w:r>
                    <w:rPr>
                      <w:szCs w:val="21"/>
                    </w:rPr>
                    <w:t>调味</w:t>
                  </w:r>
                  <w:r>
                    <w:rPr>
                      <w:rFonts w:hint="eastAsia"/>
                      <w:szCs w:val="21"/>
                    </w:rPr>
                    <w:t>品</w:t>
                  </w:r>
                  <w:r>
                    <w:rPr>
                      <w:szCs w:val="21"/>
                    </w:rPr>
                    <w:t>【固态调味料（香辛料粉、香辛料）】的生产</w:t>
                  </w:r>
                </w:p>
              </w:tc>
              <w:tc>
                <w:tcPr>
                  <w:tcW w:w="1686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11" w:type="dxa"/>
                </w:tcPr>
                <w:p>
                  <w:r>
                    <w:rPr>
                      <w:rFonts w:hint="eastAsia"/>
                    </w:rPr>
                    <w:t>注册地址</w:t>
                  </w:r>
                </w:p>
              </w:tc>
              <w:tc>
                <w:tcPr>
                  <w:tcW w:w="5446" w:type="dxa"/>
                </w:tcPr>
                <w:p>
                  <w:pPr>
                    <w:autoSpaceDE w:val="0"/>
                    <w:autoSpaceDN w:val="0"/>
                    <w:adjustRightInd w:val="0"/>
                    <w:jc w:val="left"/>
                    <w:rPr>
                      <w:szCs w:val="21"/>
                    </w:rPr>
                  </w:pPr>
                  <w:r>
                    <w:rPr>
                      <w:rFonts w:asciiTheme="minorEastAsia" w:hAnsiTheme="minorEastAsia" w:eastAsiaTheme="minorEastAsia"/>
                      <w:sz w:val="20"/>
                    </w:rPr>
                    <w:t>肥东县肥东经济开发区新安江路10号</w:t>
                  </w:r>
                </w:p>
              </w:tc>
              <w:tc>
                <w:tcPr>
                  <w:tcW w:w="1686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5" w:hRule="atLeast"/>
              </w:trPr>
              <w:tc>
                <w:tcPr>
                  <w:tcW w:w="1911" w:type="dxa"/>
                </w:tcPr>
                <w:p>
                  <w:r>
                    <w:rPr>
                      <w:rFonts w:hint="eastAsia"/>
                    </w:rPr>
                    <w:t>经营地址</w:t>
                  </w:r>
                </w:p>
              </w:tc>
              <w:tc>
                <w:tcPr>
                  <w:tcW w:w="5446" w:type="dxa"/>
                </w:tcPr>
                <w:p>
                  <w:bookmarkStart w:id="0" w:name="办公地址"/>
                  <w:r>
                    <w:rPr>
                      <w:rFonts w:hint="eastAsia" w:asciiTheme="minorEastAsia" w:hAnsiTheme="minorEastAsia" w:eastAsiaTheme="minorEastAsia"/>
                      <w:sz w:val="20"/>
                    </w:rPr>
                    <w:t>安徽省合肥市</w:t>
                  </w:r>
                  <w:r>
                    <w:rPr>
                      <w:rFonts w:asciiTheme="minorEastAsia" w:hAnsiTheme="minorEastAsia" w:eastAsiaTheme="minorEastAsia"/>
                      <w:sz w:val="20"/>
                    </w:rPr>
                    <w:t>肥东县肥东经济开发区新安江路10号</w:t>
                  </w:r>
                  <w:bookmarkEnd w:id="0"/>
                </w:p>
              </w:tc>
              <w:tc>
                <w:tcPr>
                  <w:tcW w:w="1686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11" w:type="dxa"/>
                </w:tcPr>
                <w:p>
                  <w:r>
                    <w:rPr>
                      <w:rFonts w:hint="eastAsia"/>
                    </w:rPr>
                    <w:t>临时现场</w:t>
                  </w:r>
                </w:p>
              </w:tc>
              <w:tc>
                <w:tcPr>
                  <w:tcW w:w="5446" w:type="dxa"/>
                </w:tcPr>
                <w:p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686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11" w:type="dxa"/>
                </w:tcPr>
                <w:p>
                  <w:r>
                    <w:rPr>
                      <w:rFonts w:hint="eastAsia"/>
                    </w:rPr>
                    <w:t>多场所</w:t>
                  </w:r>
                </w:p>
              </w:tc>
              <w:tc>
                <w:tcPr>
                  <w:tcW w:w="5446" w:type="dxa"/>
                </w:tcPr>
                <w:p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686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11" w:type="dxa"/>
                </w:tcPr>
                <w:p>
                  <w:r>
                    <w:rPr>
                      <w:rFonts w:hint="eastAsia"/>
                    </w:rPr>
                    <w:t>组织单元（部门/分支）</w:t>
                  </w:r>
                </w:p>
              </w:tc>
              <w:tc>
                <w:tcPr>
                  <w:tcW w:w="5446" w:type="dxa"/>
                </w:tcPr>
                <w:p>
                  <w:r>
                    <w:rPr>
                      <w:rFonts w:ascii="宋体" w:hAnsi="宋体"/>
                    </w:rPr>
                    <w:fldChar w:fldCharType="begin"/>
                  </w:r>
                  <w:r>
                    <w:rPr>
                      <w:rFonts w:ascii="宋体" w:hAnsi="宋体"/>
                    </w:rPr>
                    <w:instrText xml:space="preserve"> </w:instrText>
                  </w:r>
                  <w:r>
                    <w:rPr>
                      <w:rFonts w:hint="eastAsia" w:ascii="宋体" w:hAnsi="宋体"/>
                    </w:rPr>
                    <w:instrText xml:space="preserve">eq \o\ac(□,√)</w:instrText>
                  </w:r>
                  <w:r>
                    <w:rPr>
                      <w:rFonts w:ascii="宋体" w:hAnsi="宋体"/>
                    </w:rPr>
                    <w:fldChar w:fldCharType="end"/>
                  </w:r>
                  <w:r>
                    <w:rPr>
                      <w:rFonts w:hint="eastAsia"/>
                    </w:rPr>
                    <w:t>与组织结构图一致</w:t>
                  </w:r>
                </w:p>
                <w:p>
                  <w:pPr>
                    <w:rPr>
                      <w:u w:val="single"/>
                    </w:rPr>
                  </w:pP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分支机构，如： </w:t>
                  </w:r>
                  <w:r>
                    <w:rPr>
                      <w:rFonts w:hint="eastAsia"/>
                      <w:u w:val="single"/>
                    </w:rPr>
                    <w:t xml:space="preserve">                  </w:t>
                  </w:r>
                </w:p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临时场所，如： </w:t>
                  </w:r>
                  <w:r>
                    <w:rPr>
                      <w:rFonts w:hint="eastAsia"/>
                      <w:u w:val="single"/>
                    </w:rPr>
                    <w:t xml:space="preserve">            </w:t>
                  </w:r>
                  <w:r>
                    <w:rPr>
                      <w:u w:val="single"/>
                    </w:rPr>
                    <w:t xml:space="preserve">   </w:t>
                  </w:r>
                  <w:r>
                    <w:rPr>
                      <w:rFonts w:hint="eastAsia"/>
                      <w:u w:val="single"/>
                    </w:rPr>
                    <w:t xml:space="preserve">   </w:t>
                  </w:r>
                </w:p>
              </w:tc>
              <w:tc>
                <w:tcPr>
                  <w:tcW w:w="1686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11" w:type="dxa"/>
                </w:tcPr>
                <w:p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5446" w:type="dxa"/>
                </w:tcPr>
                <w:p>
                  <w:r>
                    <w:rPr>
                      <w:rFonts w:ascii="宋体" w:hAnsi="宋体"/>
                    </w:rPr>
                    <w:fldChar w:fldCharType="begin"/>
                  </w:r>
                  <w:r>
                    <w:rPr>
                      <w:rFonts w:ascii="宋体" w:hAnsi="宋体"/>
                    </w:rPr>
                    <w:instrText xml:space="preserve"> </w:instrText>
                  </w:r>
                  <w:r>
                    <w:rPr>
                      <w:rFonts w:hint="eastAsia" w:ascii="宋体" w:hAnsi="宋体"/>
                    </w:rPr>
                    <w:instrText xml:space="preserve">eq \o\ac(□)</w:instrText>
                  </w:r>
                  <w:r>
                    <w:rPr>
                      <w:rFonts w:ascii="宋体" w:hAnsi="宋体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 体系建立以来</w:t>
                  </w:r>
                </w:p>
                <w:p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 xml:space="preserve"> 近一年以来，202</w:t>
                  </w:r>
                  <w:r>
                    <w:t>1</w:t>
                  </w:r>
                  <w:r>
                    <w:rPr>
                      <w:rFonts w:hint="eastAsia"/>
                    </w:rPr>
                    <w:t>.</w:t>
                  </w:r>
                  <w:r>
                    <w:t>8</w:t>
                  </w:r>
                </w:p>
              </w:tc>
              <w:tc>
                <w:tcPr>
                  <w:tcW w:w="1686" w:type="dxa"/>
                </w:tcPr>
                <w:p/>
              </w:tc>
            </w:tr>
          </w:tbl>
          <w:p/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在企业的管理手册中有描述。</w:t>
            </w:r>
          </w:p>
        </w:tc>
        <w:tc>
          <w:tcPr>
            <w:tcW w:w="1591" w:type="dxa"/>
            <w:vMerge w:val="continue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163" w:type="dxa"/>
            <w:gridSpan w:val="2"/>
            <w:vMerge w:val="restart"/>
            <w:shd w:val="clear" w:color="auto" w:fill="auto"/>
          </w:tcPr>
          <w:p>
            <w:pPr>
              <w:jc w:val="left"/>
            </w:pPr>
            <w:r>
              <w:rPr>
                <w:rFonts w:hint="eastAsia"/>
              </w:rPr>
              <w:t>食品安全管理体系及其过程</w:t>
            </w:r>
          </w:p>
        </w:tc>
        <w:tc>
          <w:tcPr>
            <w:tcW w:w="960" w:type="dxa"/>
            <w:vMerge w:val="restart"/>
            <w:shd w:val="clear" w:color="auto" w:fill="auto"/>
          </w:tcPr>
          <w:p>
            <w:r>
              <w:rPr>
                <w:rFonts w:hint="eastAsia"/>
              </w:rPr>
              <w:t xml:space="preserve"> F4.4 </w:t>
            </w:r>
          </w:p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5" w:type="dxa"/>
            <w:shd w:val="clear" w:color="auto" w:fill="auto"/>
          </w:tcPr>
          <w:p>
            <w:r>
              <w:rPr>
                <w:rFonts w:hint="eastAsia"/>
              </w:rPr>
              <w:t>如：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管理手册第4.4条款、</w:t>
            </w:r>
            <w:r>
              <w:rPr/>
              <w:sym w:font="Wingdings" w:char="00A8"/>
            </w:r>
            <w:r>
              <w:rPr>
                <w:rFonts w:hint="eastAsia"/>
              </w:rPr>
              <w:t>《过程清单》</w:t>
            </w:r>
          </w:p>
        </w:tc>
        <w:tc>
          <w:tcPr>
            <w:tcW w:w="1591" w:type="dxa"/>
            <w:vMerge w:val="restart"/>
            <w:shd w:val="clear" w:color="auto" w:fill="auto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2163" w:type="dxa"/>
            <w:gridSpan w:val="2"/>
            <w:vMerge w:val="continue"/>
            <w:shd w:val="clear" w:color="auto" w:fill="auto"/>
          </w:tcPr>
          <w:p/>
        </w:tc>
        <w:tc>
          <w:tcPr>
            <w:tcW w:w="960" w:type="dxa"/>
            <w:vMerge w:val="continue"/>
            <w:shd w:val="clear" w:color="auto" w:fill="auto"/>
          </w:tcPr>
          <w:p/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5" w:type="dxa"/>
            <w:shd w:val="clear" w:color="auto" w:fill="auto"/>
          </w:tcPr>
          <w:p>
            <w:pPr>
              <w:spacing w:before="40" w:after="40"/>
              <w:rPr>
                <w:lang w:val="en-GB"/>
              </w:rPr>
            </w:pPr>
            <w:r>
              <w:rPr>
                <w:rFonts w:hint="eastAsia"/>
              </w:rPr>
              <w:t>组织对管理体系的过程进行了确认，对输入、输出、</w:t>
            </w:r>
            <w:r>
              <w:rPr>
                <w:rFonts w:hint="eastAsia"/>
                <w:lang w:val="en-GB"/>
              </w:rPr>
              <w:t>顺序及相互</w:t>
            </w:r>
            <w:r>
              <w:rPr>
                <w:rFonts w:hint="eastAsia"/>
              </w:rPr>
              <w:t>作用</w:t>
            </w:r>
            <w:r>
              <w:rPr>
                <w:rFonts w:hint="eastAsia"/>
                <w:lang w:val="en-GB"/>
              </w:rPr>
              <w:t>已被</w:t>
            </w:r>
            <w:r>
              <w:rPr>
                <w:rFonts w:hint="eastAsia"/>
              </w:rPr>
              <w:t>明确</w:t>
            </w:r>
            <w:r>
              <w:rPr>
                <w:rFonts w:hint="eastAsia"/>
                <w:lang w:val="en-GB"/>
              </w:rPr>
              <w:t>地提出并被充分控制。</w:t>
            </w:r>
            <w:r>
              <w:rPr>
                <w:rFonts w:hint="eastAsia"/>
              </w:rPr>
              <w:t>采用了过程方法管理相关管理体系及其过程；</w:t>
            </w:r>
            <w:r>
              <w:rPr>
                <w:rFonts w:hint="eastAsia"/>
                <w:lang w:val="en-GB"/>
              </w:rPr>
              <w:t>用文件化的绩效指标定期评审过程。</w:t>
            </w:r>
          </w:p>
          <w:p>
            <w:pPr>
              <w:spacing w:before="40" w:after="40"/>
              <w:jc w:val="left"/>
            </w:pPr>
          </w:p>
          <w:p>
            <w:pPr>
              <w:spacing w:before="40" w:after="40"/>
              <w:jc w:val="left"/>
            </w:pPr>
            <w:r>
              <w:rPr>
                <w:rFonts w:hint="eastAsia"/>
              </w:rPr>
              <w:t>FSMS：</w:t>
            </w:r>
          </w:p>
          <w:p>
            <w:pPr>
              <w:spacing w:before="40" w:after="4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影响运行的重要</w:t>
            </w:r>
            <w:r>
              <w:rPr>
                <w:rFonts w:hint="eastAsia"/>
                <w:b/>
                <w:bCs/>
                <w:lang w:val="en-GB"/>
              </w:rPr>
              <w:t>过程如下</w:t>
            </w:r>
            <w:r>
              <w:rPr>
                <w:rFonts w:hint="eastAsia"/>
                <w:b/>
                <w:bCs/>
              </w:rPr>
              <w:t>:</w:t>
            </w:r>
            <w:r>
              <w:rPr>
                <w:rFonts w:hint="eastAsia"/>
                <w:b/>
                <w:bCs/>
                <w:lang w:val="en-GB"/>
              </w:rPr>
              <w:t xml:space="preserve"> （</w:t>
            </w:r>
            <w:r>
              <w:rPr>
                <w:rFonts w:hint="eastAsia"/>
                <w:b/>
                <w:bCs/>
              </w:rPr>
              <w:t>不必全选</w:t>
            </w:r>
            <w:r>
              <w:rPr>
                <w:rFonts w:hint="eastAsia"/>
                <w:b/>
                <w:bCs/>
                <w:lang w:val="en-GB"/>
              </w:rPr>
              <w:t>）</w:t>
            </w:r>
          </w:p>
          <w:p>
            <w:pPr>
              <w:spacing w:before="40" w:after="40"/>
              <w:ind w:left="210" w:hanging="210" w:hangingChars="100"/>
            </w:pPr>
            <w:r>
              <w:rPr>
                <w:rFonts w:hint="eastAsia"/>
              </w:rPr>
              <w:t xml:space="preserve">☑人员能力管理 ☑危害分析 ☑PRP制订和控制 ☑危害控制计划（OPRP、HACCP）制订和控制 </w:t>
            </w:r>
          </w:p>
          <w:p>
            <w:pPr>
              <w:spacing w:before="40" w:after="40"/>
            </w:pPr>
            <w:r>
              <w:rPr>
                <w:rFonts w:hint="eastAsia"/>
              </w:rPr>
              <w:t xml:space="preserve">□特种设备管理 ☑控制措施组合确认  ☑PRP和危害控制措施的效果验证 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其他（车辆管理）</w:t>
            </w:r>
          </w:p>
          <w:p>
            <w:pPr>
              <w:spacing w:before="40" w:after="4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影响体系运行的外包</w:t>
            </w:r>
            <w:r>
              <w:rPr>
                <w:rFonts w:hint="eastAsia"/>
                <w:b/>
                <w:bCs/>
                <w:lang w:val="en-GB"/>
              </w:rPr>
              <w:t>过程如下</w:t>
            </w:r>
            <w:r>
              <w:rPr>
                <w:rFonts w:hint="eastAsia"/>
                <w:b/>
                <w:bCs/>
              </w:rPr>
              <w:t>:</w:t>
            </w:r>
            <w:r>
              <w:rPr>
                <w:rFonts w:hint="eastAsia"/>
                <w:b/>
                <w:bCs/>
                <w:lang w:val="en-GB"/>
              </w:rPr>
              <w:t xml:space="preserve"> （</w:t>
            </w:r>
            <w:r>
              <w:rPr>
                <w:rFonts w:hint="eastAsia"/>
                <w:b/>
                <w:bCs/>
              </w:rPr>
              <w:t>根据实际情况选择</w:t>
            </w:r>
            <w:r>
              <w:rPr>
                <w:rFonts w:hint="eastAsia"/>
                <w:b/>
                <w:bCs/>
                <w:lang w:val="en-GB"/>
              </w:rPr>
              <w:t>）</w:t>
            </w:r>
          </w:p>
          <w:p>
            <w:pPr>
              <w:spacing w:before="40" w:after="40"/>
            </w:pPr>
            <w:r>
              <w:rPr>
                <w:rFonts w:hint="eastAsia"/>
              </w:rPr>
              <w:t xml:space="preserve">□建立FSMS  □危害分析 □制订PRP和OPRP、HACCP计划 □生产/服务过程  □产品运输 </w:t>
            </w:r>
          </w:p>
          <w:p>
            <w:pPr>
              <w:spacing w:before="40" w:after="40"/>
              <w:jc w:val="left"/>
            </w:pPr>
            <w:r>
              <w:rPr>
                <w:rFonts w:hint="eastAsia"/>
              </w:rPr>
              <w:t>□设备维修   □人员培训 □PRP和OPRP、HACCP验证  ☑其他—成品运输</w:t>
            </w:r>
          </w:p>
          <w:p>
            <w:pPr>
              <w:spacing w:before="40" w:after="40"/>
            </w:pPr>
            <w:r>
              <w:rPr>
                <w:rFonts w:hint="eastAsia"/>
              </w:rPr>
              <w:t xml:space="preserve"> </w:t>
            </w:r>
          </w:p>
          <w:p>
            <w:pPr>
              <w:spacing w:before="40" w:after="40"/>
              <w:rPr>
                <w:highlight w:val="cyan"/>
              </w:rPr>
            </w:pPr>
            <w:r>
              <w:rPr>
                <w:rFonts w:hint="eastAsia"/>
                <w:lang w:val="en-GB"/>
              </w:rPr>
              <w:t>组织通过</w:t>
            </w:r>
            <w:r>
              <w:rPr>
                <w:rFonts w:hint="eastAsia"/>
              </w:rPr>
              <w:t>食品安全</w:t>
            </w:r>
            <w:r>
              <w:rPr>
                <w:rFonts w:hint="eastAsia"/>
                <w:lang w:val="en-GB"/>
              </w:rPr>
              <w:t>目标的建立、实施、顾客满意的测量、内审和管理评审等方式，充分地</w:t>
            </w:r>
            <w:r>
              <w:rPr>
                <w:rFonts w:hint="eastAsia"/>
              </w:rPr>
              <w:t>评审，管理及</w:t>
            </w:r>
            <w:r>
              <w:rPr>
                <w:rFonts w:hint="eastAsia"/>
                <w:lang w:val="en-GB"/>
              </w:rPr>
              <w:t>控制这些</w:t>
            </w:r>
            <w:r>
              <w:rPr>
                <w:rFonts w:hint="eastAsia"/>
              </w:rPr>
              <w:t>管理体系覆盖的过程</w:t>
            </w:r>
            <w:r>
              <w:rPr>
                <w:rFonts w:hint="eastAsia"/>
                <w:lang w:val="en-GB"/>
              </w:rPr>
              <w:t>和活动</w:t>
            </w:r>
            <w:r>
              <w:rPr>
                <w:rFonts w:hint="eastAsia"/>
              </w:rPr>
              <w:t>。</w:t>
            </w:r>
          </w:p>
        </w:tc>
        <w:tc>
          <w:tcPr>
            <w:tcW w:w="1591" w:type="dxa"/>
            <w:vMerge w:val="continue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163" w:type="dxa"/>
            <w:gridSpan w:val="2"/>
            <w:vMerge w:val="restart"/>
            <w:shd w:val="clear" w:color="auto" w:fill="auto"/>
          </w:tcPr>
          <w:p>
            <w:r>
              <w:rPr>
                <w:rFonts w:hint="eastAsia"/>
              </w:rPr>
              <w:t>领导作用与承诺</w:t>
            </w:r>
          </w:p>
        </w:tc>
        <w:tc>
          <w:tcPr>
            <w:tcW w:w="960" w:type="dxa"/>
            <w:vMerge w:val="restart"/>
            <w:shd w:val="clear" w:color="auto" w:fill="auto"/>
          </w:tcPr>
          <w:p>
            <w:r>
              <w:rPr>
                <w:rFonts w:hint="eastAsia"/>
              </w:rPr>
              <w:t>F5.1</w:t>
            </w:r>
          </w:p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5" w:type="dxa"/>
            <w:shd w:val="clear" w:color="auto" w:fill="auto"/>
          </w:tcPr>
          <w:p>
            <w:r>
              <w:rPr>
                <w:rFonts w:hint="eastAsia"/>
              </w:rPr>
              <w:t>如：</w:t>
            </w:r>
            <w:r>
              <w:rPr/>
              <w:sym w:font="Wingdings" w:char="00FE"/>
            </w:r>
            <w:r>
              <w:rPr>
                <w:rFonts w:hint="eastAsia"/>
              </w:rPr>
              <w:t>管理手册第5.1条款  和“5.3各部门及岗位职责”</w:t>
            </w:r>
          </w:p>
        </w:tc>
        <w:tc>
          <w:tcPr>
            <w:tcW w:w="1591" w:type="dxa"/>
            <w:vMerge w:val="restart"/>
            <w:shd w:val="clear" w:color="auto" w:fill="auto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2163" w:type="dxa"/>
            <w:gridSpan w:val="2"/>
            <w:vMerge w:val="continue"/>
            <w:shd w:val="clear" w:color="auto" w:fill="auto"/>
          </w:tcPr>
          <w:p/>
        </w:tc>
        <w:tc>
          <w:tcPr>
            <w:tcW w:w="960" w:type="dxa"/>
            <w:vMerge w:val="continue"/>
            <w:shd w:val="clear" w:color="auto" w:fill="auto"/>
          </w:tcPr>
          <w:p/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5" w:type="dxa"/>
            <w:shd w:val="clear" w:color="auto" w:fill="auto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与最高管理者沟通其领导作用与承诺：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sym w:font="Wingdings" w:char="00FE"/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确保为食品安全管理体系制定食品安全方针和食品安全目标， 并与组织的战略方向相一致；</w:t>
            </w:r>
            <w:r>
              <w:rPr>
                <w:rFonts w:hint="eastAsia"/>
                <w:color w:val="000000"/>
                <w:szCs w:val="21"/>
              </w:rPr>
              <w:t xml:space="preserve">； 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sym w:font="Wingdings" w:char="00FE"/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确保食品安全管理体系要求整合到组织的业务过程中</w:t>
            </w:r>
            <w:r>
              <w:rPr>
                <w:rFonts w:hint="eastAsia"/>
                <w:color w:val="000000"/>
                <w:szCs w:val="21"/>
              </w:rPr>
              <w:t xml:space="preserve">； 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sym w:font="Wingdings" w:char="00FE"/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确保获得食品安全管理体系所需的资源</w:t>
            </w:r>
            <w:r>
              <w:rPr>
                <w:rFonts w:hint="eastAsia"/>
                <w:color w:val="000000"/>
                <w:szCs w:val="21"/>
              </w:rPr>
              <w:t xml:space="preserve">；  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sym w:font="Wingdings" w:char="00FE"/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沟通有效食品安全管理的重要性， 符合食品安全管理体系要求、 法律法规要求和与食品安全有关的顾客要求</w:t>
            </w:r>
            <w:r>
              <w:rPr>
                <w:rFonts w:hint="eastAsia"/>
                <w:color w:val="000000"/>
                <w:szCs w:val="21"/>
              </w:rPr>
              <w:t xml:space="preserve">； 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sym w:font="Wingdings" w:char="00FE"/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确保对FSMS进行评估和保持，以实现其预期结果</w:t>
            </w:r>
            <w:r>
              <w:rPr>
                <w:rFonts w:hint="eastAsia"/>
                <w:color w:val="000000"/>
                <w:szCs w:val="21"/>
              </w:rPr>
              <w:t xml:space="preserve">； 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sym w:font="Wingdings" w:char="00FE"/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指导和支持员工为食品安全管理体系的有效性做出贡献</w:t>
            </w:r>
            <w:r>
              <w:rPr>
                <w:rFonts w:hint="eastAsia"/>
                <w:color w:val="000000"/>
                <w:szCs w:val="21"/>
              </w:rPr>
              <w:t>；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sym w:font="Wingdings" w:char="00FE"/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推动持续改进</w:t>
            </w:r>
            <w:r>
              <w:rPr>
                <w:rFonts w:hint="eastAsia"/>
                <w:color w:val="000000"/>
                <w:szCs w:val="21"/>
              </w:rPr>
              <w:t>；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sym w:font="Wingdings" w:char="00FE"/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支持其他管理者履行其相关领域的食品安全领导职责</w:t>
            </w:r>
            <w:r>
              <w:rPr>
                <w:rFonts w:hint="eastAsia"/>
                <w:color w:val="000000"/>
                <w:szCs w:val="21"/>
              </w:rPr>
              <w:t>；</w:t>
            </w:r>
          </w:p>
          <w:p>
            <w:pPr>
              <w:snapToGrid w:val="0"/>
              <w:spacing w:line="240" w:lineRule="atLeast"/>
              <w:rPr>
                <w:rFonts w:ascii="黑体" w:eastAsia="黑体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sym w:font="Wingdings" w:char="00FE"/>
            </w:r>
            <w:r>
              <w:rPr>
                <w:rFonts w:hint="eastAsia"/>
                <w:color w:val="000000"/>
                <w:szCs w:val="21"/>
              </w:rPr>
              <w:t xml:space="preserve"> 覆盖了标准第5.1章的全面要求，</w:t>
            </w:r>
            <w:r>
              <w:rPr>
                <w:rFonts w:hint="eastAsia"/>
                <w:color w:val="000000"/>
                <w:szCs w:val="21"/>
              </w:rPr>
              <w:sym w:font="Wingdings" w:char="00A8"/>
            </w:r>
            <w:r>
              <w:rPr>
                <w:rFonts w:hint="eastAsia"/>
                <w:color w:val="000000"/>
                <w:szCs w:val="21"/>
              </w:rPr>
              <w:t xml:space="preserve"> 未覆盖标准第5.1章的全面要求，缺少：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      </w:t>
            </w:r>
          </w:p>
        </w:tc>
        <w:tc>
          <w:tcPr>
            <w:tcW w:w="1591" w:type="dxa"/>
            <w:vMerge w:val="continue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163" w:type="dxa"/>
            <w:gridSpan w:val="2"/>
            <w:vMerge w:val="restart"/>
            <w:shd w:val="clear" w:color="auto" w:fill="auto"/>
          </w:tcPr>
          <w:p>
            <w:r>
              <w:rPr>
                <w:rFonts w:hint="eastAsia"/>
              </w:rPr>
              <w:t>食品安全方针</w:t>
            </w:r>
          </w:p>
        </w:tc>
        <w:tc>
          <w:tcPr>
            <w:tcW w:w="960" w:type="dxa"/>
            <w:vMerge w:val="restart"/>
            <w:shd w:val="clear" w:color="auto" w:fill="auto"/>
          </w:tcPr>
          <w:p>
            <w:r>
              <w:rPr>
                <w:rFonts w:hint="eastAsia"/>
              </w:rPr>
              <w:t>F5.2</w:t>
            </w:r>
          </w:p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5" w:type="dxa"/>
            <w:shd w:val="clear" w:color="auto" w:fill="auto"/>
          </w:tcPr>
          <w:p>
            <w:r>
              <w:rPr>
                <w:rFonts w:hint="eastAsia"/>
              </w:rPr>
              <w:t>如：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管理手册第5.2条款</w:t>
            </w:r>
          </w:p>
        </w:tc>
        <w:tc>
          <w:tcPr>
            <w:tcW w:w="1591" w:type="dxa"/>
            <w:vMerge w:val="restart"/>
            <w:shd w:val="clear" w:color="auto" w:fill="auto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163" w:type="dxa"/>
            <w:gridSpan w:val="2"/>
            <w:vMerge w:val="continue"/>
            <w:shd w:val="clear" w:color="auto" w:fill="auto"/>
          </w:tcPr>
          <w:p/>
        </w:tc>
        <w:tc>
          <w:tcPr>
            <w:tcW w:w="960" w:type="dxa"/>
            <w:vMerge w:val="continue"/>
            <w:shd w:val="clear" w:color="auto" w:fill="auto"/>
          </w:tcPr>
          <w:p/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5" w:type="dxa"/>
            <w:shd w:val="clear" w:color="auto" w:fill="auto"/>
          </w:tcPr>
          <w:p>
            <w:pPr>
              <w:rPr>
                <w:u w:val="single"/>
              </w:rPr>
            </w:pP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最高管理者制定了文件化的管理体系方针：</w:t>
            </w:r>
          </w:p>
          <w:p>
            <w:pPr>
              <w:widowControl/>
              <w:spacing w:before="40"/>
              <w:jc w:val="left"/>
              <w:rPr>
                <w:b/>
                <w:bCs/>
                <w:u w:val="single"/>
              </w:rPr>
            </w:pPr>
            <w:r>
              <w:rPr>
                <w:rFonts w:hint="eastAsia"/>
                <w:b/>
                <w:bCs/>
                <w:u w:val="single"/>
              </w:rPr>
              <w:t>绿色精品 、健康人生；不断改进，持续发展</w:t>
            </w:r>
          </w:p>
          <w:p>
            <w:pPr>
              <w:pStyle w:val="7"/>
            </w:pPr>
          </w:p>
          <w:p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适应组织的宗旨和环境并支持其战略方向</w:t>
            </w:r>
          </w:p>
          <w:p>
            <w:pPr>
              <w:rPr>
                <w:lang w:val="en-GB"/>
              </w:rPr>
            </w:pP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食品安全</w:t>
            </w:r>
            <w:r>
              <w:rPr>
                <w:rFonts w:hint="eastAsia"/>
                <w:lang w:val="en-GB"/>
              </w:rPr>
              <w:t>方针合理恰当并为相应的</w:t>
            </w:r>
            <w:r>
              <w:rPr>
                <w:rFonts w:hint="eastAsia"/>
              </w:rPr>
              <w:t>食品安全</w:t>
            </w:r>
            <w:r>
              <w:rPr>
                <w:rFonts w:hint="eastAsia"/>
                <w:lang w:val="en-GB"/>
              </w:rPr>
              <w:t>目标提供了框架。</w:t>
            </w:r>
          </w:p>
          <w:p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 xml:space="preserve">包括满足适用要求的承诺； </w:t>
            </w:r>
          </w:p>
          <w:p>
            <w:r>
              <w:rPr>
                <w:rFonts w:hint="eastAsia"/>
              </w:rPr>
              <w:t>☑包括满足适用食品安全要求的承诺，包括立法/执法要求和顾客的相互同意的食品安全要求（FSMS）</w:t>
            </w:r>
          </w:p>
          <w:p>
            <w:pPr>
              <w:rPr>
                <w:lang w:val="en-GB"/>
              </w:rPr>
            </w:pP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包括持续改进质量管理体系的承诺</w:t>
            </w:r>
          </w:p>
          <w:p>
            <w:r>
              <w:rPr>
                <w:rFonts w:hint="eastAsia"/>
              </w:rPr>
              <w:t>☑应对内部和外部沟通（FSMS）</w:t>
            </w:r>
          </w:p>
          <w:p>
            <w:r>
              <w:rPr>
                <w:rFonts w:hint="eastAsia"/>
              </w:rPr>
              <w:t>☑解决需求确保食品安全相关的能力（FSMS）</w:t>
            </w:r>
          </w:p>
          <w:p/>
          <w:p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在组织内得到沟通、理解和应用，通过：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 xml:space="preserve">展板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标语  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 xml:space="preserve">会议  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 xml:space="preserve">文件发放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其他  </w:t>
            </w:r>
          </w:p>
          <w:p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在相关方有需要时提供。通过：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网站 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 xml:space="preserve">宣传册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其他——微信等网络渠道</w:t>
            </w:r>
          </w:p>
        </w:tc>
        <w:tc>
          <w:tcPr>
            <w:tcW w:w="1591" w:type="dxa"/>
            <w:vMerge w:val="continue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163" w:type="dxa"/>
            <w:gridSpan w:val="2"/>
            <w:vMerge w:val="restart"/>
            <w:shd w:val="clear" w:color="auto" w:fill="auto"/>
          </w:tcPr>
          <w:p>
            <w:r>
              <w:rPr>
                <w:rFonts w:hint="eastAsia"/>
              </w:rPr>
              <w:t>组织的岗位、职责和权限</w:t>
            </w:r>
          </w:p>
          <w:p/>
        </w:tc>
        <w:tc>
          <w:tcPr>
            <w:tcW w:w="960" w:type="dxa"/>
            <w:vMerge w:val="restart"/>
            <w:shd w:val="clear" w:color="auto" w:fill="auto"/>
          </w:tcPr>
          <w:p>
            <w:r>
              <w:rPr>
                <w:rFonts w:hint="eastAsia"/>
              </w:rPr>
              <w:t>F5.3</w:t>
            </w:r>
          </w:p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5" w:type="dxa"/>
            <w:shd w:val="clear" w:color="auto" w:fill="auto"/>
          </w:tcPr>
          <w:p>
            <w:r>
              <w:rPr>
                <w:rFonts w:hint="eastAsia"/>
              </w:rPr>
              <w:t>如：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管理手册第5.3条款和“11.3：食品安全管理体系职能分配表”</w:t>
            </w:r>
          </w:p>
        </w:tc>
        <w:tc>
          <w:tcPr>
            <w:tcW w:w="1591" w:type="dxa"/>
            <w:vMerge w:val="restart"/>
            <w:shd w:val="clear" w:color="auto" w:fill="auto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163" w:type="dxa"/>
            <w:gridSpan w:val="2"/>
            <w:vMerge w:val="continue"/>
            <w:shd w:val="clear" w:color="auto" w:fill="auto"/>
          </w:tcPr>
          <w:p/>
        </w:tc>
        <w:tc>
          <w:tcPr>
            <w:tcW w:w="960" w:type="dxa"/>
            <w:vMerge w:val="continue"/>
            <w:shd w:val="clear" w:color="auto" w:fill="auto"/>
          </w:tcPr>
          <w:p/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5" w:type="dxa"/>
            <w:shd w:val="clear" w:color="auto" w:fill="auto"/>
          </w:tcPr>
          <w:p>
            <w:r>
              <w:rPr>
                <w:rFonts w:hint="eastAsia"/>
              </w:rPr>
              <w:t>最高管理者确定了组织架构及相关岗位的职责、权限，并进行了全员的沟通和理解；</w:t>
            </w:r>
          </w:p>
          <w:p>
            <w:r>
              <w:rPr>
                <w:rFonts w:hint="eastAsia"/>
              </w:rPr>
              <w:t>如：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60"/>
              <w:gridCol w:w="1831"/>
              <w:gridCol w:w="2691"/>
              <w:gridCol w:w="226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60" w:type="dxa"/>
                </w:tcPr>
                <w:p>
                  <w:r>
                    <w:rPr>
                      <w:rFonts w:hint="eastAsia"/>
                    </w:rPr>
                    <w:t>过程名称</w:t>
                  </w:r>
                </w:p>
              </w:tc>
              <w:tc>
                <w:tcPr>
                  <w:tcW w:w="1831" w:type="dxa"/>
                </w:tcPr>
                <w:p>
                  <w:r>
                    <w:rPr>
                      <w:rFonts w:hint="eastAsia"/>
                    </w:rPr>
                    <w:t>主管部门名称</w:t>
                  </w:r>
                </w:p>
              </w:tc>
              <w:tc>
                <w:tcPr>
                  <w:tcW w:w="2691" w:type="dxa"/>
                </w:tcPr>
                <w:p>
                  <w:r>
                    <w:rPr>
                      <w:rFonts w:hint="eastAsia"/>
                    </w:rPr>
                    <w:t>过程名称</w:t>
                  </w:r>
                </w:p>
              </w:tc>
              <w:tc>
                <w:tcPr>
                  <w:tcW w:w="2261" w:type="dxa"/>
                </w:tcPr>
                <w:p>
                  <w:r>
                    <w:rPr>
                      <w:rFonts w:hint="eastAsia"/>
                    </w:rPr>
                    <w:t>主管部门名称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60" w:type="dxa"/>
                </w:tcPr>
                <w:p>
                  <w:r>
                    <w:rPr>
                      <w:rFonts w:hint="eastAsia"/>
                    </w:rPr>
                    <w:t>食品安全管理体系策划和推动</w:t>
                  </w:r>
                </w:p>
              </w:tc>
              <w:tc>
                <w:tcPr>
                  <w:tcW w:w="1831" w:type="dxa"/>
                </w:tcPr>
                <w:p>
                  <w:r>
                    <w:rPr>
                      <w:rFonts w:hint="eastAsia"/>
                    </w:rPr>
                    <w:t>食品安全小组</w:t>
                  </w:r>
                </w:p>
              </w:tc>
              <w:tc>
                <w:tcPr>
                  <w:tcW w:w="2691" w:type="dxa"/>
                </w:tcPr>
                <w:p>
                  <w:r>
                    <w:rPr>
                      <w:rFonts w:hint="eastAsia"/>
                    </w:rPr>
                    <w:t>OPRP和HACCP的实施</w:t>
                  </w:r>
                </w:p>
              </w:tc>
              <w:tc>
                <w:tcPr>
                  <w:tcW w:w="2261" w:type="dxa"/>
                </w:tcPr>
                <w:p>
                  <w:r>
                    <w:rPr>
                      <w:rFonts w:hint="eastAsia"/>
                    </w:rPr>
                    <w:t>生产部、品管部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60" w:type="dxa"/>
                </w:tcPr>
                <w:p>
                  <w:r>
                    <w:rPr>
                      <w:rFonts w:hint="eastAsia"/>
                    </w:rPr>
                    <w:t>采购控制</w:t>
                  </w:r>
                </w:p>
              </w:tc>
              <w:tc>
                <w:tcPr>
                  <w:tcW w:w="1831" w:type="dxa"/>
                </w:tcPr>
                <w:p>
                  <w:r>
                    <w:rPr>
                      <w:rFonts w:hint="eastAsia"/>
                    </w:rPr>
                    <w:t>采购部</w:t>
                  </w:r>
                </w:p>
              </w:tc>
              <w:tc>
                <w:tcPr>
                  <w:tcW w:w="2691" w:type="dxa"/>
                </w:tcPr>
                <w:p>
                  <w:r>
                    <w:rPr>
                      <w:rFonts w:hint="eastAsia"/>
                    </w:rPr>
                    <w:t>FSMS验证和确认</w:t>
                  </w:r>
                </w:p>
              </w:tc>
              <w:tc>
                <w:tcPr>
                  <w:tcW w:w="2261" w:type="dxa"/>
                </w:tcPr>
                <w:p>
                  <w:r>
                    <w:rPr>
                      <w:rFonts w:hint="eastAsia"/>
                    </w:rPr>
                    <w:t>食品安全小组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60" w:type="dxa"/>
                </w:tcPr>
                <w:p>
                  <w:r>
                    <w:rPr>
                      <w:rFonts w:hint="eastAsia"/>
                    </w:rPr>
                    <w:t>人员健康</w:t>
                  </w:r>
                </w:p>
              </w:tc>
              <w:tc>
                <w:tcPr>
                  <w:tcW w:w="1831" w:type="dxa"/>
                </w:tcPr>
                <w:p>
                  <w:r>
                    <w:rPr>
                      <w:rFonts w:hint="eastAsia"/>
                    </w:rPr>
                    <w:t>行政部</w:t>
                  </w:r>
                </w:p>
              </w:tc>
              <w:tc>
                <w:tcPr>
                  <w:tcW w:w="2691" w:type="dxa"/>
                </w:tcPr>
                <w:p>
                  <w:r>
                    <w:rPr>
                      <w:rFonts w:hint="eastAsia"/>
                    </w:rPr>
                    <w:t>监视和测量控制</w:t>
                  </w:r>
                </w:p>
              </w:tc>
              <w:tc>
                <w:tcPr>
                  <w:tcW w:w="2261" w:type="dxa"/>
                </w:tcPr>
                <w:p>
                  <w:r>
                    <w:rPr>
                      <w:rFonts w:hint="eastAsia"/>
                    </w:rPr>
                    <w:t>品管部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60" w:type="dxa"/>
                </w:tcPr>
                <w:p/>
              </w:tc>
              <w:tc>
                <w:tcPr>
                  <w:tcW w:w="1831" w:type="dxa"/>
                </w:tcPr>
                <w:p/>
              </w:tc>
              <w:tc>
                <w:tcPr>
                  <w:tcW w:w="2691" w:type="dxa"/>
                </w:tcPr>
                <w:p/>
              </w:tc>
              <w:tc>
                <w:tcPr>
                  <w:tcW w:w="2261" w:type="dxa"/>
                </w:tcPr>
                <w:p/>
              </w:tc>
            </w:tr>
          </w:tbl>
          <w:p/>
        </w:tc>
        <w:tc>
          <w:tcPr>
            <w:tcW w:w="1591" w:type="dxa"/>
            <w:vMerge w:val="continue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3" w:hRule="atLeast"/>
        </w:trPr>
        <w:tc>
          <w:tcPr>
            <w:tcW w:w="2163" w:type="dxa"/>
            <w:gridSpan w:val="2"/>
            <w:shd w:val="clear" w:color="auto" w:fill="auto"/>
          </w:tcPr>
          <w:p/>
        </w:tc>
        <w:tc>
          <w:tcPr>
            <w:tcW w:w="960" w:type="dxa"/>
            <w:shd w:val="clear" w:color="auto" w:fill="auto"/>
          </w:tcPr>
          <w:p/>
        </w:tc>
        <w:tc>
          <w:tcPr>
            <w:tcW w:w="745" w:type="dxa"/>
            <w:shd w:val="clear" w:color="auto" w:fill="auto"/>
          </w:tcPr>
          <w:p/>
        </w:tc>
        <w:tc>
          <w:tcPr>
            <w:tcW w:w="9255" w:type="dxa"/>
            <w:shd w:val="clear" w:color="auto" w:fill="auto"/>
          </w:tcPr>
          <w:p>
            <w:pPr>
              <w:rPr>
                <w:u w:val="single"/>
              </w:rPr>
            </w:pP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食品安全小组组长：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Cs w:val="21"/>
                <w:u w:val="single"/>
              </w:rPr>
              <w:t xml:space="preserve">贾正武 先生 </w:t>
            </w:r>
            <w:r>
              <w:rPr>
                <w:rFonts w:hint="eastAsia"/>
                <w:u w:val="single"/>
              </w:rPr>
              <w:t xml:space="preserve">  </w:t>
            </w:r>
          </w:p>
          <w:p>
            <w:pPr>
              <w:pStyle w:val="7"/>
            </w:pPr>
          </w:p>
          <w:p>
            <w:r>
              <w:t>食品安全组长负责：</w:t>
            </w:r>
          </w:p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  </w:t>
            </w:r>
            <w:r>
              <w:t>确保FSMS的建立、实施、维护和更新；</w:t>
            </w:r>
          </w:p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  </w:t>
            </w:r>
            <w:r>
              <w:t>管理和组织食品安全小组的工作；</w:t>
            </w:r>
          </w:p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  </w:t>
            </w:r>
            <w:r>
              <w:t>确保食品安全团队的相关培训和能力；</w:t>
            </w:r>
          </w:p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  </w:t>
            </w:r>
            <w:r>
              <w:t>向最高管理层报告FSMS的有效性和适宜性。</w:t>
            </w:r>
          </w:p>
          <w:p/>
          <w:p>
            <w:r>
              <w:t>所有人员有责任向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食品安全组长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食品安全小组成员 </w:t>
            </w:r>
            <w:r>
              <w:t>报告与FSMS有关的问题</w:t>
            </w:r>
            <w:r>
              <w:rPr>
                <w:rFonts w:hint="eastAsia"/>
              </w:rPr>
              <w:t>。</w:t>
            </w:r>
          </w:p>
        </w:tc>
        <w:tc>
          <w:tcPr>
            <w:tcW w:w="1591" w:type="dxa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163" w:type="dxa"/>
            <w:gridSpan w:val="2"/>
            <w:vMerge w:val="restart"/>
            <w:shd w:val="clear" w:color="auto" w:fill="auto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应对风险和机遇的措施</w:t>
            </w:r>
          </w:p>
          <w:p/>
        </w:tc>
        <w:tc>
          <w:tcPr>
            <w:tcW w:w="960" w:type="dxa"/>
            <w:vMerge w:val="restart"/>
            <w:shd w:val="clear" w:color="auto" w:fill="auto"/>
          </w:tcPr>
          <w:p>
            <w:r>
              <w:rPr>
                <w:rFonts w:hint="eastAsia"/>
                <w:color w:val="000000"/>
                <w:szCs w:val="21"/>
              </w:rPr>
              <w:t>F6.1.1</w:t>
            </w:r>
          </w:p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5" w:type="dxa"/>
            <w:shd w:val="clear" w:color="auto" w:fill="auto"/>
          </w:tcPr>
          <w:p>
            <w:pPr>
              <w:widowControl/>
              <w:jc w:val="left"/>
            </w:pPr>
            <w:r>
              <w:rPr>
                <w:rFonts w:hint="eastAsia"/>
              </w:rPr>
              <w:t>如：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管理手册第6.1条款、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《风险和机遇控制程序》</w:t>
            </w:r>
          </w:p>
        </w:tc>
        <w:tc>
          <w:tcPr>
            <w:tcW w:w="1591" w:type="dxa"/>
            <w:vMerge w:val="restart"/>
            <w:shd w:val="clear" w:color="auto" w:fill="auto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6" w:hRule="atLeast"/>
        </w:trPr>
        <w:tc>
          <w:tcPr>
            <w:tcW w:w="2163" w:type="dxa"/>
            <w:gridSpan w:val="2"/>
            <w:vMerge w:val="continue"/>
            <w:shd w:val="clear" w:color="auto" w:fill="auto"/>
          </w:tcPr>
          <w:p/>
        </w:tc>
        <w:tc>
          <w:tcPr>
            <w:tcW w:w="960" w:type="dxa"/>
            <w:vMerge w:val="continue"/>
            <w:shd w:val="clear" w:color="auto" w:fill="auto"/>
          </w:tcPr>
          <w:p/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5" w:type="dxa"/>
            <w:shd w:val="clear" w:color="auto" w:fill="auto"/>
          </w:tcPr>
          <w:p>
            <w:r>
              <w:rPr>
                <w:rFonts w:hint="eastAsia"/>
              </w:rPr>
              <w:t>分析风险的方法：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 xml:space="preserve">头脑风暴法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FMEA（潜在失效模式分析）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其他</w:t>
            </w:r>
          </w:p>
          <w:p/>
          <w:p>
            <w:r>
              <w:rPr>
                <w:rFonts w:hint="eastAsia"/>
              </w:rPr>
              <w:t xml:space="preserve">应对风险的措施类型包括： </w:t>
            </w:r>
          </w:p>
          <w:p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 xml:space="preserve">规避风险 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为寻求机遇承担风险、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 xml:space="preserve">消除风险源 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改变风险的可能性和后果、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 xml:space="preserve">分担风险 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 xml:space="preserve">通过信息充分的决策而保留风险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其他</w:t>
            </w:r>
          </w:p>
          <w:p/>
          <w:p>
            <w:r>
              <w:rPr>
                <w:rFonts w:hint="eastAsia"/>
              </w:rPr>
              <w:t xml:space="preserve">列举2~3项应对主要风险的描述：         </w:t>
            </w:r>
          </w:p>
          <w:tbl>
            <w:tblPr>
              <w:tblStyle w:val="9"/>
              <w:tblpPr w:leftFromText="180" w:rightFromText="180" w:vertAnchor="text" w:horzAnchor="page" w:tblpX="97" w:tblpY="208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547"/>
              <w:gridCol w:w="4258"/>
              <w:gridCol w:w="171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547" w:type="dxa"/>
                </w:tcPr>
                <w:p>
                  <w:r>
                    <w:rPr>
                      <w:rFonts w:hint="eastAsia"/>
                    </w:rPr>
                    <w:t>主要的风险描述</w:t>
                  </w:r>
                </w:p>
              </w:tc>
              <w:tc>
                <w:tcPr>
                  <w:tcW w:w="4258" w:type="dxa"/>
                </w:tcPr>
                <w:p>
                  <w:pPr>
                    <w:rPr>
                      <w:szCs w:val="24"/>
                    </w:rPr>
                  </w:pPr>
                  <w:r>
                    <w:rPr>
                      <w:rFonts w:hint="eastAsia"/>
                    </w:rPr>
                    <w:t>应对措施</w:t>
                  </w:r>
                </w:p>
              </w:tc>
              <w:tc>
                <w:tcPr>
                  <w:tcW w:w="1717" w:type="dxa"/>
                </w:tcPr>
                <w:p>
                  <w:r>
                    <w:rPr>
                      <w:rFonts w:hint="eastAsia"/>
                    </w:rPr>
                    <w:t>措施的有效性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547" w:type="dxa"/>
                  <w:vAlign w:val="center"/>
                </w:tcPr>
                <w:p>
                  <w:pPr>
                    <w:widowControl/>
                    <w:spacing w:line="360" w:lineRule="exact"/>
                    <w:jc w:val="left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hint="eastAsia"/>
                    </w:rPr>
                    <w:t>原料品质把控不当，化学特性超标，导致产品质量不合格，市场退货</w:t>
                  </w:r>
                </w:p>
              </w:tc>
              <w:tc>
                <w:tcPr>
                  <w:tcW w:w="4258" w:type="dxa"/>
                </w:tcPr>
                <w:p>
                  <w:pPr>
                    <w:numPr>
                      <w:ilvl w:val="0"/>
                      <w:numId w:val="1"/>
                    </w:numPr>
                  </w:pPr>
                  <w:r>
                    <w:rPr>
                      <w:rFonts w:hint="eastAsia"/>
                    </w:rPr>
                    <w:t>与合格供方签订采购合同；</w:t>
                  </w:r>
                </w:p>
                <w:p>
                  <w:pPr>
                    <w:numPr>
                      <w:ilvl w:val="0"/>
                      <w:numId w:val="1"/>
                    </w:numPr>
                  </w:pPr>
                  <w:r>
                    <w:rPr>
                      <w:rFonts w:hint="eastAsia"/>
                    </w:rPr>
                    <w:t>每批进行化学特性的检测；</w:t>
                  </w:r>
                </w:p>
                <w:p>
                  <w:pPr>
                    <w:numPr>
                      <w:ilvl w:val="0"/>
                      <w:numId w:val="1"/>
                    </w:numPr>
                  </w:pPr>
                  <w:r>
                    <w:rPr>
                      <w:rFonts w:hint="eastAsia"/>
                    </w:rPr>
                    <w:t>从合格供方进行采购；</w:t>
                  </w:r>
                </w:p>
                <w:p>
                  <w:pPr>
                    <w:numPr>
                      <w:ilvl w:val="0"/>
                      <w:numId w:val="1"/>
                    </w:numPr>
                  </w:pPr>
                  <w:r>
                    <w:rPr>
                      <w:rFonts w:hint="eastAsia"/>
                    </w:rPr>
                    <w:t>加强客户对产品品质的反馈并及时处理</w:t>
                  </w:r>
                </w:p>
              </w:tc>
              <w:tc>
                <w:tcPr>
                  <w:tcW w:w="1717" w:type="dxa"/>
                </w:tcPr>
                <w:p>
                  <w:r>
                    <w:rPr>
                      <w:rFonts w:hint="eastAsia"/>
                    </w:rPr>
                    <w:t>基本有效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547" w:type="dxa"/>
                </w:tcPr>
                <w:p>
                  <w:pPr>
                    <w:rPr>
                      <w:szCs w:val="24"/>
                    </w:rPr>
                  </w:pPr>
                </w:p>
              </w:tc>
              <w:tc>
                <w:tcPr>
                  <w:tcW w:w="4258" w:type="dxa"/>
                </w:tcPr>
                <w:p>
                  <w:pPr>
                    <w:snapToGrid w:val="0"/>
                    <w:spacing w:line="360" w:lineRule="exact"/>
                    <w:jc w:val="left"/>
                    <w:rPr>
                      <w:rFonts w:ascii="宋体" w:hAnsi="宋体" w:cs="宋体"/>
                      <w:szCs w:val="21"/>
                    </w:rPr>
                  </w:pPr>
                </w:p>
              </w:tc>
              <w:tc>
                <w:tcPr>
                  <w:tcW w:w="1717" w:type="dxa"/>
                </w:tcPr>
                <w:p/>
              </w:tc>
            </w:tr>
          </w:tbl>
          <w:p/>
          <w:p>
            <w:r>
              <w:rPr>
                <w:rFonts w:hint="eastAsia"/>
              </w:rPr>
              <w:t xml:space="preserve">应对机遇的措施类型包括： </w:t>
            </w:r>
          </w:p>
          <w:p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 xml:space="preserve">采用新实践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推出新产品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开辟新市场  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 xml:space="preserve">赢得新顾客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建立合作伙伴关系  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 xml:space="preserve">利用新技术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其他</w:t>
            </w:r>
          </w:p>
          <w:p>
            <w:r>
              <w:rPr>
                <w:rFonts w:hint="eastAsia"/>
              </w:rPr>
              <w:t>列举2~3项应对重要机遇的描述：</w:t>
            </w:r>
          </w:p>
          <w:tbl>
            <w:tblPr>
              <w:tblStyle w:val="9"/>
              <w:tblpPr w:leftFromText="180" w:rightFromText="180" w:vertAnchor="text" w:horzAnchor="page" w:tblpX="106" w:tblpY="206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034"/>
              <w:gridCol w:w="3913"/>
              <w:gridCol w:w="17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3" w:hRule="atLeast"/>
              </w:trPr>
              <w:tc>
                <w:tcPr>
                  <w:tcW w:w="3034" w:type="dxa"/>
                </w:tcPr>
                <w:p>
                  <w:r>
                    <w:rPr>
                      <w:rFonts w:hint="eastAsia"/>
                    </w:rPr>
                    <w:t>主要的机遇描述</w:t>
                  </w:r>
                </w:p>
              </w:tc>
              <w:tc>
                <w:tcPr>
                  <w:tcW w:w="3913" w:type="dxa"/>
                </w:tcPr>
                <w:p>
                  <w:pPr>
                    <w:rPr>
                      <w:szCs w:val="24"/>
                    </w:rPr>
                  </w:pPr>
                  <w:r>
                    <w:rPr>
                      <w:rFonts w:hint="eastAsia"/>
                    </w:rPr>
                    <w:t>应对措施</w:t>
                  </w:r>
                </w:p>
              </w:tc>
              <w:tc>
                <w:tcPr>
                  <w:tcW w:w="1752" w:type="dxa"/>
                </w:tcPr>
                <w:p>
                  <w:r>
                    <w:rPr>
                      <w:rFonts w:hint="eastAsia"/>
                    </w:rPr>
                    <w:t>措施的有效性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50" w:hRule="atLeast"/>
              </w:trPr>
              <w:tc>
                <w:tcPr>
                  <w:tcW w:w="3034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价格比同行的优惠、食品安全控制严格，市场占有量大</w:t>
                  </w:r>
                </w:p>
              </w:tc>
              <w:tc>
                <w:tcPr>
                  <w:tcW w:w="3913" w:type="dxa"/>
                </w:tcPr>
                <w:p>
                  <w:pPr>
                    <w:numPr>
                      <w:ilvl w:val="0"/>
                      <w:numId w:val="2"/>
                    </w:num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原料产地直采；</w:t>
                  </w:r>
                </w:p>
                <w:p>
                  <w:pPr>
                    <w:pStyle w:val="5"/>
                    <w:numPr>
                      <w:ilvl w:val="0"/>
                      <w:numId w:val="2"/>
                    </w:numPr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与客户签订合格作协议；</w:t>
                  </w:r>
                </w:p>
                <w:p>
                  <w:pPr>
                    <w:pStyle w:val="5"/>
                    <w:numPr>
                      <w:ilvl w:val="0"/>
                      <w:numId w:val="2"/>
                    </w:numPr>
                    <w:rPr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产新时候收货；</w:t>
                  </w:r>
                </w:p>
              </w:tc>
              <w:tc>
                <w:tcPr>
                  <w:tcW w:w="1752" w:type="dxa"/>
                </w:tcPr>
                <w:p>
                  <w:r>
                    <w:rPr>
                      <w:rFonts w:hint="eastAsia"/>
                    </w:rPr>
                    <w:t>基本有效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3" w:hRule="atLeast"/>
              </w:trPr>
              <w:tc>
                <w:tcPr>
                  <w:tcW w:w="3034" w:type="dxa"/>
                </w:tcPr>
                <w:p>
                  <w:pPr>
                    <w:rPr>
                      <w:szCs w:val="24"/>
                      <w:highlight w:val="yellow"/>
                    </w:rPr>
                  </w:pPr>
                </w:p>
              </w:tc>
              <w:tc>
                <w:tcPr>
                  <w:tcW w:w="3913" w:type="dxa"/>
                </w:tcPr>
                <w:p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1752" w:type="dxa"/>
                </w:tcPr>
                <w:p>
                  <w:pPr>
                    <w:rPr>
                      <w:highlight w:val="yellow"/>
                    </w:rPr>
                  </w:pPr>
                </w:p>
              </w:tc>
            </w:tr>
          </w:tbl>
          <w:p/>
          <w:p>
            <w:r>
              <w:rPr>
                <w:rFonts w:hint="eastAsia"/>
              </w:rPr>
              <w:t>FSMS：</w:t>
            </w:r>
          </w:p>
          <w:p>
            <w:pPr>
              <w:jc w:val="left"/>
            </w:pPr>
            <w:r>
              <w:rPr>
                <w:rFonts w:hint="eastAsia"/>
              </w:rPr>
              <w:t>组织食品安全管理体系范围内的潜在紧急情况，如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sym w:font="Wingdings" w:char="00FE"/>
            </w:r>
            <w:r>
              <w:rPr>
                <w:rFonts w:hint="eastAsia"/>
                <w:u w:val="single"/>
              </w:rPr>
              <w:t xml:space="preserve">法规未识别  </w:t>
            </w:r>
            <w:r>
              <w:rPr>
                <w:rFonts w:hint="eastAsia"/>
                <w:u w:val="single"/>
              </w:rPr>
              <w:sym w:font="Wingdings" w:char="00FE"/>
            </w:r>
            <w:r>
              <w:rPr>
                <w:rFonts w:hint="eastAsia"/>
                <w:u w:val="single"/>
              </w:rPr>
              <w:t xml:space="preserve">违规操作  </w:t>
            </w:r>
            <w:r>
              <w:rPr>
                <w:rFonts w:hint="eastAsia"/>
                <w:u w:val="single"/>
              </w:rPr>
              <w:sym w:font="Wingdings" w:char="00A8"/>
            </w:r>
            <w:r>
              <w:rPr>
                <w:rFonts w:hint="eastAsia"/>
                <w:u w:val="single"/>
              </w:rPr>
              <w:t xml:space="preserve">其他                      </w:t>
            </w:r>
          </w:p>
          <w:p/>
          <w:p>
            <w:pPr>
              <w:rPr>
                <w:u w:val="single"/>
              </w:rPr>
            </w:pPr>
            <w:r>
              <w:rPr>
                <w:rFonts w:hint="eastAsia"/>
              </w:rPr>
              <w:t>可能具有食品安全危害的潜在紧急情况，如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sym w:font="Wingdings" w:char="00FE"/>
            </w:r>
            <w:r>
              <w:rPr>
                <w:rFonts w:hint="eastAsia"/>
                <w:u w:val="single"/>
              </w:rPr>
              <w:t xml:space="preserve">食物中毒 </w:t>
            </w:r>
            <w:r>
              <w:rPr>
                <w:rFonts w:hint="eastAsia"/>
                <w:u w:val="single"/>
              </w:rPr>
              <w:sym w:font="Wingdings" w:char="00A8"/>
            </w:r>
            <w:r>
              <w:rPr>
                <w:rFonts w:hint="eastAsia"/>
                <w:u w:val="single"/>
              </w:rPr>
              <w:t xml:space="preserve">停水  </w:t>
            </w:r>
            <w:r>
              <w:rPr>
                <w:rFonts w:hint="eastAsia"/>
                <w:u w:val="single"/>
              </w:rPr>
              <w:sym w:font="Wingdings" w:char="00FE"/>
            </w:r>
            <w:r>
              <w:rPr>
                <w:rFonts w:hint="eastAsia"/>
                <w:u w:val="single"/>
              </w:rPr>
              <w:t xml:space="preserve">停电  </w:t>
            </w:r>
            <w:r>
              <w:rPr>
                <w:rFonts w:hint="eastAsia"/>
                <w:u w:val="single"/>
              </w:rPr>
              <w:sym w:font="Wingdings" w:char="00A8"/>
            </w:r>
            <w:r>
              <w:rPr>
                <w:rFonts w:hint="eastAsia"/>
                <w:u w:val="single"/>
              </w:rPr>
              <w:t xml:space="preserve"> 停蒸汽   </w:t>
            </w:r>
          </w:p>
          <w:p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  <w:u w:val="single"/>
              </w:rPr>
              <w:sym w:font="Wingdings" w:char="00A8"/>
            </w:r>
            <w:r>
              <w:rPr>
                <w:rFonts w:hint="eastAsia"/>
                <w:u w:val="single"/>
              </w:rPr>
              <w:t xml:space="preserve"> 制冷设备故障  </w:t>
            </w:r>
            <w:r>
              <w:rPr>
                <w:rFonts w:hint="eastAsia"/>
                <w:u w:val="single"/>
              </w:rPr>
              <w:sym w:font="Wingdings" w:char="00A8"/>
            </w:r>
            <w:r>
              <w:rPr>
                <w:rFonts w:hint="eastAsia"/>
                <w:u w:val="single"/>
              </w:rPr>
              <w:t xml:space="preserve">车辆故障   </w:t>
            </w:r>
            <w:r>
              <w:rPr>
                <w:rFonts w:hint="eastAsia"/>
                <w:u w:val="single"/>
              </w:rPr>
              <w:sym w:font="Wingdings" w:char="00FE"/>
            </w:r>
            <w:r>
              <w:rPr>
                <w:rFonts w:hint="eastAsia"/>
                <w:u w:val="single"/>
              </w:rPr>
              <w:t xml:space="preserve">其他——供应链发生变化              </w:t>
            </w:r>
          </w:p>
          <w:p/>
          <w:p>
            <w:pPr>
              <w:jc w:val="left"/>
              <w:rPr>
                <w:rFonts w:ascii="CIDFont+F5" w:hAnsi="CIDFont+F5" w:eastAsia="CIDFont+F5"/>
              </w:rPr>
            </w:pP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CIDFont+F5" w:hAnsi="CIDFont+F5" w:eastAsia="CIDFont+F5"/>
              </w:rPr>
              <w:t xml:space="preserve"> 确保FSMS 能够达到其预期结果;</w:t>
            </w:r>
          </w:p>
          <w:p>
            <w:pPr>
              <w:jc w:val="left"/>
              <w:rPr>
                <w:rFonts w:ascii="CIDFont+F5" w:hAnsi="CIDFont+F5" w:eastAsia="CIDFont+F5"/>
              </w:rPr>
            </w:pP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CIDFont+F5" w:hAnsi="CIDFont+F5" w:eastAsia="CIDFont+F5"/>
              </w:rPr>
              <w:t xml:space="preserve"> 提高理想效果;</w:t>
            </w:r>
          </w:p>
          <w:p>
            <w:pPr>
              <w:jc w:val="left"/>
              <w:rPr>
                <w:rFonts w:ascii="CIDFont+F5" w:hAnsi="CIDFont+F5" w:eastAsia="CIDFont+F5"/>
              </w:rPr>
            </w:pP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CIDFont+F5" w:hAnsi="CIDFont+F5" w:eastAsia="CIDFont+F5"/>
              </w:rPr>
              <w:t xml:space="preserve"> 防止或减少不良后果;</w:t>
            </w:r>
          </w:p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CIDFont+F5" w:hAnsi="CIDFont+F5" w:eastAsia="CIDFont+F5"/>
              </w:rPr>
              <w:t xml:space="preserve"> 实现持续改进。</w:t>
            </w:r>
          </w:p>
        </w:tc>
        <w:tc>
          <w:tcPr>
            <w:tcW w:w="1591" w:type="dxa"/>
            <w:vMerge w:val="continue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2163" w:type="dxa"/>
            <w:gridSpan w:val="2"/>
            <w:vMerge w:val="restart"/>
            <w:shd w:val="clear" w:color="auto" w:fill="auto"/>
          </w:tcPr>
          <w:p/>
        </w:tc>
        <w:tc>
          <w:tcPr>
            <w:tcW w:w="960" w:type="dxa"/>
            <w:shd w:val="clear" w:color="auto" w:fill="auto"/>
          </w:tcPr>
          <w:p>
            <w:r>
              <w:rPr>
                <w:rFonts w:hint="eastAsia"/>
                <w:color w:val="000000"/>
                <w:szCs w:val="21"/>
              </w:rPr>
              <w:t>F6.1.2</w:t>
            </w:r>
          </w:p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5" w:type="dxa"/>
            <w:shd w:val="clear" w:color="auto" w:fill="auto"/>
          </w:tcPr>
          <w:p>
            <w:pPr>
              <w:rPr>
                <w:rFonts w:ascii="CIDFont+F5" w:hAnsi="CIDFont+F5" w:eastAsia="CIDFont+F5"/>
              </w:rPr>
            </w:pPr>
            <w:r>
              <w:rPr>
                <w:rFonts w:hint="eastAsia" w:ascii="CIDFont+F5" w:hAnsi="CIDFont+F5" w:eastAsia="CIDFont+F5"/>
              </w:rPr>
              <w:t>该组织策划了：</w:t>
            </w:r>
          </w:p>
          <w:p>
            <w:pPr>
              <w:jc w:val="left"/>
              <w:rPr>
                <w:rFonts w:ascii="CIDFont+F5" w:hAnsi="CIDFont+F5" w:eastAsia="CIDFont+F5"/>
              </w:rPr>
            </w:pPr>
            <w:r>
              <w:rPr>
                <w:rFonts w:hint="eastAsia" w:ascii="CIDFont+F5" w:hAnsi="CIDFont+F5" w:eastAsia="CIDFont+F5"/>
              </w:rPr>
              <w:t>a) 解决这些风险和机遇的行动;——企业提供了《风险和机遇评估分析报告》</w:t>
            </w:r>
          </w:p>
          <w:p>
            <w:pPr>
              <w:jc w:val="left"/>
              <w:rPr>
                <w:rFonts w:ascii="CIDFont+F5" w:hAnsi="CIDFont+F5" w:eastAsia="CIDFont+F5"/>
              </w:rPr>
            </w:pPr>
            <w:r>
              <w:rPr>
                <w:rFonts w:hint="eastAsia" w:ascii="CIDFont+F5" w:hAnsi="CIDFont+F5" w:eastAsia="CIDFont+F5"/>
              </w:rPr>
              <w:t>b) 并进行了:</w:t>
            </w:r>
          </w:p>
          <w:p>
            <w:pPr>
              <w:jc w:val="left"/>
              <w:rPr>
                <w:rFonts w:ascii="CIDFont+F5" w:hAnsi="CIDFont+F5" w:eastAsia="CIDFont+F5"/>
              </w:rPr>
            </w:pPr>
            <w:r>
              <w:rPr>
                <w:rFonts w:hint="eastAsia" w:ascii="CIDFont+F5" w:hAnsi="CIDFont+F5" w:eastAsia="CIDFont+F5"/>
              </w:rPr>
              <w:t>1) 将行动整合并实施到其FSMS流程中;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 w:ascii="CIDFont+F5" w:hAnsi="CIDFont+F5" w:eastAsia="CIDFont+F5"/>
              </w:rPr>
              <w:t xml:space="preserve">是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 w:ascii="CIDFont+F5" w:hAnsi="CIDFont+F5" w:eastAsia="CIDFont+F5"/>
              </w:rPr>
              <w:t>否，说明</w:t>
            </w:r>
            <w:r>
              <w:rPr>
                <w:rFonts w:hint="eastAsia" w:ascii="CIDFont+F5" w:hAnsi="CIDFont+F5" w:eastAsia="CIDFont+F5"/>
                <w:u w:val="single"/>
              </w:rPr>
              <w:t xml:space="preserve">                    </w:t>
            </w:r>
            <w:r>
              <w:rPr>
                <w:rFonts w:hint="eastAsia" w:ascii="CIDFont+F5" w:hAnsi="CIDFont+F5" w:eastAsia="CIDFont+F5"/>
              </w:rPr>
              <w:t xml:space="preserve">  </w:t>
            </w:r>
          </w:p>
          <w:p>
            <w:pPr>
              <w:jc w:val="left"/>
              <w:rPr>
                <w:rFonts w:ascii="CIDFont+F5" w:hAnsi="CIDFont+F5" w:eastAsia="CIDFont+F5"/>
              </w:rPr>
            </w:pPr>
            <w:r>
              <w:rPr>
                <w:rFonts w:hint="eastAsia" w:ascii="CIDFont+F5" w:hAnsi="CIDFont+F5" w:eastAsia="CIDFont+F5"/>
              </w:rPr>
              <w:t>2) 评估这些行动的有效性。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 w:ascii="CIDFont+F5" w:hAnsi="CIDFont+F5" w:eastAsia="CIDFont+F5"/>
              </w:rPr>
              <w:t xml:space="preserve">是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 w:ascii="CIDFont+F5" w:hAnsi="CIDFont+F5" w:eastAsia="CIDFont+F5"/>
              </w:rPr>
              <w:t>否，说明</w:t>
            </w:r>
            <w:r>
              <w:rPr>
                <w:rFonts w:hint="eastAsia" w:ascii="CIDFont+F5" w:hAnsi="CIDFont+F5" w:eastAsia="CIDFont+F5"/>
                <w:u w:val="single"/>
              </w:rPr>
              <w:t xml:space="preserve">                    </w:t>
            </w:r>
            <w:r>
              <w:rPr>
                <w:rFonts w:hint="eastAsia" w:ascii="CIDFont+F5" w:hAnsi="CIDFont+F5" w:eastAsia="CIDFont+F5"/>
              </w:rPr>
              <w:t xml:space="preserve">   </w:t>
            </w:r>
          </w:p>
        </w:tc>
        <w:tc>
          <w:tcPr>
            <w:tcW w:w="1591" w:type="dxa"/>
            <w:shd w:val="clear" w:color="auto" w:fill="auto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2163" w:type="dxa"/>
            <w:gridSpan w:val="2"/>
            <w:vMerge w:val="continue"/>
            <w:shd w:val="clear" w:color="auto" w:fill="auto"/>
          </w:tcPr>
          <w:p>
            <w:pPr>
              <w:rPr>
                <w:highlight w:val="yellow"/>
              </w:rPr>
            </w:pPr>
          </w:p>
        </w:tc>
        <w:tc>
          <w:tcPr>
            <w:tcW w:w="960" w:type="dxa"/>
            <w:shd w:val="clear" w:color="auto" w:fill="auto"/>
          </w:tcPr>
          <w:p>
            <w:r>
              <w:rPr>
                <w:rFonts w:hint="eastAsia"/>
                <w:color w:val="000000"/>
                <w:szCs w:val="21"/>
              </w:rPr>
              <w:t>F6.1.3</w:t>
            </w:r>
          </w:p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5" w:type="dxa"/>
            <w:shd w:val="clear" w:color="auto" w:fill="auto"/>
          </w:tcPr>
          <w:p>
            <w:pPr>
              <w:jc w:val="left"/>
              <w:rPr>
                <w:rFonts w:ascii="CIDFont+F5" w:hAnsi="CIDFont+F5" w:eastAsia="CIDFont+F5"/>
              </w:rPr>
            </w:pPr>
            <w:r>
              <w:rPr>
                <w:rFonts w:hint="eastAsia" w:ascii="CIDFont+F5" w:hAnsi="CIDFont+F5" w:eastAsia="CIDFont+F5"/>
              </w:rPr>
              <w:t>该组织为应对风险和机遇而采取的行动与以下方面相称：</w:t>
            </w:r>
          </w:p>
          <w:p>
            <w:pPr>
              <w:jc w:val="left"/>
              <w:rPr>
                <w:rFonts w:ascii="CIDFont+F5" w:hAnsi="CIDFont+F5" w:eastAsia="CIDFont+F5"/>
              </w:rPr>
            </w:pPr>
            <w:r>
              <w:rPr>
                <w:rFonts w:hint="eastAsia" w:ascii="CIDFont+F5" w:hAnsi="CIDFont+F5" w:eastAsia="CIDFont+F5"/>
              </w:rPr>
              <w:t xml:space="preserve">a) 对食品安全要求的影响;        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 w:ascii="CIDFont+F5" w:hAnsi="CIDFont+F5" w:eastAsia="CIDFont+F5"/>
              </w:rPr>
              <w:t xml:space="preserve">是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 w:ascii="CIDFont+F5" w:hAnsi="CIDFont+F5" w:eastAsia="CIDFont+F5"/>
              </w:rPr>
              <w:t>否，说明</w:t>
            </w:r>
            <w:r>
              <w:rPr>
                <w:rFonts w:hint="eastAsia" w:ascii="CIDFont+F5" w:hAnsi="CIDFont+F5" w:eastAsia="CIDFont+F5"/>
                <w:u w:val="single"/>
              </w:rPr>
              <w:t xml:space="preserve">                    </w:t>
            </w:r>
            <w:r>
              <w:rPr>
                <w:rFonts w:hint="eastAsia" w:ascii="CIDFont+F5" w:hAnsi="CIDFont+F5" w:eastAsia="CIDFont+F5"/>
              </w:rPr>
              <w:t xml:space="preserve">  </w:t>
            </w:r>
          </w:p>
          <w:p>
            <w:pPr>
              <w:jc w:val="left"/>
              <w:rPr>
                <w:rFonts w:ascii="CIDFont+F5" w:hAnsi="CIDFont+F5" w:eastAsia="CIDFont+F5"/>
              </w:rPr>
            </w:pPr>
            <w:r>
              <w:rPr>
                <w:rFonts w:hint="eastAsia" w:ascii="CIDFont+F5" w:hAnsi="CIDFont+F5" w:eastAsia="CIDFont+F5"/>
              </w:rPr>
              <w:t>b) 为顾客提供一致的食品产品与服务;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 w:ascii="CIDFont+F5" w:hAnsi="CIDFont+F5" w:eastAsia="CIDFont+F5"/>
              </w:rPr>
              <w:t xml:space="preserve">是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 w:ascii="CIDFont+F5" w:hAnsi="CIDFont+F5" w:eastAsia="CIDFont+F5"/>
              </w:rPr>
              <w:t>否，说明</w:t>
            </w:r>
            <w:r>
              <w:rPr>
                <w:rFonts w:hint="eastAsia" w:ascii="CIDFont+F5" w:hAnsi="CIDFont+F5" w:eastAsia="CIDFont+F5"/>
                <w:u w:val="single"/>
              </w:rPr>
              <w:t xml:space="preserve">                    </w:t>
            </w:r>
            <w:r>
              <w:rPr>
                <w:rFonts w:hint="eastAsia" w:ascii="CIDFont+F5" w:hAnsi="CIDFont+F5" w:eastAsia="CIDFont+F5"/>
              </w:rPr>
              <w:t xml:space="preserve">  </w:t>
            </w:r>
          </w:p>
          <w:p>
            <w:pPr>
              <w:jc w:val="left"/>
            </w:pPr>
            <w:r>
              <w:rPr>
                <w:rFonts w:hint="eastAsia" w:ascii="CIDFont+F5" w:hAnsi="CIDFont+F5" w:eastAsia="CIDFont+F5"/>
              </w:rPr>
              <w:t xml:space="preserve">c) 食品链中相关方的要求。       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 w:ascii="CIDFont+F5" w:hAnsi="CIDFont+F5" w:eastAsia="CIDFont+F5"/>
              </w:rPr>
              <w:t xml:space="preserve">是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 w:ascii="CIDFont+F5" w:hAnsi="CIDFont+F5" w:eastAsia="CIDFont+F5"/>
              </w:rPr>
              <w:t>否，说明</w:t>
            </w:r>
            <w:r>
              <w:rPr>
                <w:rFonts w:hint="eastAsia" w:ascii="CIDFont+F5" w:hAnsi="CIDFont+F5" w:eastAsia="CIDFont+F5"/>
                <w:u w:val="single"/>
              </w:rPr>
              <w:t xml:space="preserve">                    </w:t>
            </w:r>
            <w:r>
              <w:rPr>
                <w:rFonts w:hint="eastAsia" w:ascii="CIDFont+F5" w:hAnsi="CIDFont+F5" w:eastAsia="CIDFont+F5"/>
              </w:rPr>
              <w:t xml:space="preserve">  </w:t>
            </w:r>
          </w:p>
        </w:tc>
        <w:tc>
          <w:tcPr>
            <w:tcW w:w="1591" w:type="dxa"/>
            <w:shd w:val="clear" w:color="auto" w:fill="auto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163" w:type="dxa"/>
            <w:gridSpan w:val="2"/>
            <w:vMerge w:val="restart"/>
            <w:shd w:val="clear" w:color="auto" w:fill="auto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食品安全目标及其实现的策划</w:t>
            </w:r>
          </w:p>
          <w:p/>
        </w:tc>
        <w:tc>
          <w:tcPr>
            <w:tcW w:w="960" w:type="dxa"/>
            <w:vMerge w:val="restart"/>
            <w:shd w:val="clear" w:color="auto" w:fill="auto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F6.2</w:t>
            </w:r>
          </w:p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5" w:type="dxa"/>
            <w:shd w:val="clear" w:color="auto" w:fill="auto"/>
          </w:tcPr>
          <w:p>
            <w:r>
              <w:rPr>
                <w:rFonts w:hint="eastAsia"/>
              </w:rPr>
              <w:t>如：</w:t>
            </w:r>
            <w:r>
              <w:rPr/>
              <w:sym w:font="Wingdings" w:char="00FE"/>
            </w:r>
            <w:r>
              <w:rPr>
                <w:rFonts w:hint="eastAsia"/>
              </w:rPr>
              <w:t xml:space="preserve">手册第6.2条款、《目标管理程序》 </w:t>
            </w:r>
            <w:r>
              <w:rPr/>
              <w:sym w:font="Wingdings" w:char="00FE"/>
            </w:r>
            <w:r>
              <w:rPr>
                <w:rFonts w:hint="eastAsia"/>
              </w:rPr>
              <w:t>《</w:t>
            </w:r>
            <w:r>
              <w:rPr>
                <w:rFonts w:hint="eastAsia"/>
                <w:color w:val="000000"/>
                <w:szCs w:val="21"/>
              </w:rPr>
              <w:t>食品安全目标考核结果统计表</w:t>
            </w:r>
            <w:r>
              <w:rPr>
                <w:rFonts w:hint="eastAsia"/>
              </w:rPr>
              <w:t>》</w:t>
            </w:r>
          </w:p>
        </w:tc>
        <w:tc>
          <w:tcPr>
            <w:tcW w:w="1591" w:type="dxa"/>
            <w:vMerge w:val="restart"/>
            <w:shd w:val="clear" w:color="auto" w:fill="auto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2163" w:type="dxa"/>
            <w:gridSpan w:val="2"/>
            <w:vMerge w:val="continue"/>
            <w:shd w:val="clear" w:color="auto" w:fill="auto"/>
          </w:tcPr>
          <w:p/>
        </w:tc>
        <w:tc>
          <w:tcPr>
            <w:tcW w:w="960" w:type="dxa"/>
            <w:vMerge w:val="continue"/>
            <w:shd w:val="clear" w:color="auto" w:fill="auto"/>
          </w:tcPr>
          <w:p/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5" w:type="dxa"/>
            <w:shd w:val="clear" w:color="auto" w:fill="auto"/>
          </w:tcPr>
          <w:p>
            <w:r>
              <w:rPr>
                <w:rFonts w:hint="eastAsia"/>
              </w:rPr>
              <w:t>组织建立了与方针一致的文件化的管理目标。为实现总的</w:t>
            </w:r>
            <w:r>
              <w:rPr>
                <w:rFonts w:hint="eastAsia" w:ascii="宋体" w:hAnsi="宋体"/>
                <w:szCs w:val="21"/>
              </w:rPr>
              <w:t>食品安全</w:t>
            </w:r>
            <w:r>
              <w:rPr>
                <w:rFonts w:hint="eastAsia"/>
              </w:rPr>
              <w:t>目标而建立的各层级</w:t>
            </w:r>
            <w:r>
              <w:rPr>
                <w:rFonts w:hint="eastAsia" w:ascii="宋体" w:hAnsi="宋体"/>
                <w:szCs w:val="21"/>
              </w:rPr>
              <w:t>食品安全</w:t>
            </w:r>
            <w:r>
              <w:rPr>
                <w:rFonts w:hint="eastAsia"/>
              </w:rPr>
              <w:t>目标具体、有针对性、可测量并且可实现。</w:t>
            </w:r>
          </w:p>
          <w:p>
            <w:r>
              <w:rPr>
                <w:rFonts w:hint="eastAsia"/>
              </w:rPr>
              <w:t>总</w:t>
            </w:r>
            <w:r>
              <w:rPr>
                <w:rFonts w:hint="eastAsia" w:ascii="宋体" w:hAnsi="宋体"/>
                <w:szCs w:val="21"/>
              </w:rPr>
              <w:t>食品安全</w:t>
            </w:r>
            <w:r>
              <w:rPr>
                <w:rFonts w:hint="eastAsia"/>
              </w:rPr>
              <w:t>目标实现情况的评价，及其测量方法是：</w:t>
            </w:r>
          </w:p>
          <w:tbl>
            <w:tblPr>
              <w:tblStyle w:val="8"/>
              <w:tblW w:w="898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72"/>
              <w:gridCol w:w="1043"/>
              <w:gridCol w:w="2526"/>
              <w:gridCol w:w="1032"/>
              <w:gridCol w:w="210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9" w:hRule="atLeast"/>
              </w:trPr>
              <w:tc>
                <w:tcPr>
                  <w:tcW w:w="2272" w:type="dxa"/>
                  <w:shd w:val="clear" w:color="auto" w:fill="auto"/>
                </w:tcPr>
                <w:p>
                  <w:pPr>
                    <w:rPr>
                      <w:szCs w:val="22"/>
                    </w:rPr>
                  </w:pPr>
                  <w:r>
                    <w:rPr>
                      <w:rFonts w:hint="eastAsia"/>
                      <w:szCs w:val="22"/>
                    </w:rPr>
                    <w:t>食品安全目标</w:t>
                  </w:r>
                </w:p>
              </w:tc>
              <w:tc>
                <w:tcPr>
                  <w:tcW w:w="1043" w:type="dxa"/>
                  <w:shd w:val="clear" w:color="auto" w:fill="auto"/>
                </w:tcPr>
                <w:p>
                  <w:pPr>
                    <w:rPr>
                      <w:szCs w:val="22"/>
                    </w:rPr>
                  </w:pPr>
                  <w:r>
                    <w:rPr>
                      <w:rFonts w:hint="eastAsia"/>
                      <w:szCs w:val="22"/>
                    </w:rPr>
                    <w:t>考核频率</w:t>
                  </w:r>
                </w:p>
              </w:tc>
              <w:tc>
                <w:tcPr>
                  <w:tcW w:w="2526" w:type="dxa"/>
                  <w:shd w:val="clear" w:color="auto" w:fill="auto"/>
                </w:tcPr>
                <w:p>
                  <w:pPr>
                    <w:rPr>
                      <w:szCs w:val="22"/>
                    </w:rPr>
                  </w:pPr>
                  <w:r>
                    <w:rPr>
                      <w:rFonts w:hint="eastAsia"/>
                      <w:szCs w:val="22"/>
                    </w:rPr>
                    <w:t>计算方法</w:t>
                  </w:r>
                </w:p>
              </w:tc>
              <w:tc>
                <w:tcPr>
                  <w:tcW w:w="1032" w:type="dxa"/>
                  <w:shd w:val="clear" w:color="auto" w:fill="auto"/>
                </w:tcPr>
                <w:p>
                  <w:pPr>
                    <w:rPr>
                      <w:szCs w:val="22"/>
                    </w:rPr>
                  </w:pPr>
                  <w:r>
                    <w:rPr>
                      <w:rFonts w:hint="eastAsia"/>
                      <w:szCs w:val="22"/>
                    </w:rPr>
                    <w:t>责任部门</w:t>
                  </w:r>
                </w:p>
              </w:tc>
              <w:tc>
                <w:tcPr>
                  <w:tcW w:w="2109" w:type="dxa"/>
                  <w:shd w:val="clear" w:color="auto" w:fill="auto"/>
                </w:tcPr>
                <w:p>
                  <w:pPr>
                    <w:rPr>
                      <w:szCs w:val="22"/>
                    </w:rPr>
                  </w:pPr>
                  <w:r>
                    <w:rPr>
                      <w:rFonts w:hint="eastAsia"/>
                      <w:szCs w:val="22"/>
                    </w:rPr>
                    <w:t>目标实际完成（2021.0</w:t>
                  </w:r>
                  <w:r>
                    <w:rPr>
                      <w:szCs w:val="22"/>
                    </w:rPr>
                    <w:t>8</w:t>
                  </w:r>
                  <w:r>
                    <w:rPr>
                      <w:rFonts w:hint="eastAsia"/>
                      <w:szCs w:val="22"/>
                    </w:rPr>
                    <w:t>-202</w:t>
                  </w:r>
                  <w:r>
                    <w:rPr>
                      <w:szCs w:val="22"/>
                    </w:rPr>
                    <w:t>2</w:t>
                  </w:r>
                  <w:r>
                    <w:rPr>
                      <w:rFonts w:hint="eastAsia"/>
                      <w:szCs w:val="22"/>
                    </w:rPr>
                    <w:t>.0</w:t>
                  </w:r>
                  <w:r>
                    <w:rPr>
                      <w:szCs w:val="22"/>
                    </w:rPr>
                    <w:t>6</w:t>
                  </w:r>
                  <w:r>
                    <w:rPr>
                      <w:rFonts w:hint="eastAsia"/>
                      <w:szCs w:val="22"/>
                    </w:rPr>
                    <w:t>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9" w:hRule="atLeast"/>
              </w:trPr>
              <w:tc>
                <w:tcPr>
                  <w:tcW w:w="2272" w:type="dxa"/>
                  <w:shd w:val="clear" w:color="auto" w:fill="auto"/>
                  <w:vAlign w:val="center"/>
                </w:tcPr>
                <w:p>
                  <w:pPr>
                    <w:spacing w:line="400" w:lineRule="exact"/>
                    <w:rPr>
                      <w:bCs/>
                      <w:szCs w:val="21"/>
                    </w:rPr>
                  </w:pPr>
                  <w:r>
                    <w:rPr>
                      <w:rFonts w:hint="eastAsia"/>
                      <w:bCs/>
                      <w:szCs w:val="21"/>
                    </w:rPr>
                    <w:t>市场监管部门抽检合格率100%</w:t>
                  </w:r>
                </w:p>
              </w:tc>
              <w:tc>
                <w:tcPr>
                  <w:tcW w:w="1043" w:type="dxa"/>
                  <w:shd w:val="clear" w:color="auto" w:fill="auto"/>
                  <w:vAlign w:val="center"/>
                </w:tcPr>
                <w:p>
                  <w:pPr>
                    <w:rPr>
                      <w:bCs/>
                      <w:szCs w:val="21"/>
                    </w:rPr>
                  </w:pPr>
                  <w:r>
                    <w:rPr>
                      <w:rFonts w:hint="eastAsia"/>
                      <w:bCs/>
                      <w:szCs w:val="21"/>
                    </w:rPr>
                    <w:t>每季度</w:t>
                  </w:r>
                </w:p>
              </w:tc>
              <w:tc>
                <w:tcPr>
                  <w:tcW w:w="2526" w:type="dxa"/>
                  <w:shd w:val="clear" w:color="auto" w:fill="auto"/>
                  <w:vAlign w:val="center"/>
                </w:tcPr>
                <w:p>
                  <w:pPr>
                    <w:rPr>
                      <w:bCs/>
                      <w:szCs w:val="21"/>
                    </w:rPr>
                  </w:pPr>
                  <w:r>
                    <w:rPr>
                      <w:rFonts w:hint="eastAsia"/>
                      <w:bCs/>
                      <w:szCs w:val="21"/>
                    </w:rPr>
                    <w:t>抽检次数/抽检总数X100%</w:t>
                  </w:r>
                </w:p>
              </w:tc>
              <w:tc>
                <w:tcPr>
                  <w:tcW w:w="1032" w:type="dxa"/>
                  <w:shd w:val="clear" w:color="auto" w:fill="auto"/>
                </w:tcPr>
                <w:p>
                  <w:pPr>
                    <w:spacing w:before="156" w:beforeLines="50"/>
                    <w:jc w:val="center"/>
                    <w:rPr>
                      <w:bCs/>
                      <w:szCs w:val="21"/>
                    </w:rPr>
                  </w:pPr>
                  <w:r>
                    <w:rPr>
                      <w:rFonts w:hint="eastAsia"/>
                      <w:bCs/>
                      <w:szCs w:val="21"/>
                    </w:rPr>
                    <w:t>各部门</w:t>
                  </w:r>
                </w:p>
              </w:tc>
              <w:tc>
                <w:tcPr>
                  <w:tcW w:w="2109" w:type="dxa"/>
                  <w:shd w:val="clear" w:color="auto" w:fill="auto"/>
                </w:tcPr>
                <w:p>
                  <w:pPr>
                    <w:spacing w:before="156" w:beforeLines="50"/>
                    <w:jc w:val="center"/>
                    <w:rPr>
                      <w:bCs/>
                      <w:szCs w:val="21"/>
                    </w:rPr>
                  </w:pPr>
                  <w:r>
                    <w:rPr>
                      <w:rFonts w:hint="eastAsia"/>
                      <w:bCs/>
                      <w:szCs w:val="21"/>
                    </w:rPr>
                    <w:t>已完成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838" w:hRule="atLeast"/>
              </w:trPr>
              <w:tc>
                <w:tcPr>
                  <w:tcW w:w="2272" w:type="dxa"/>
                  <w:vAlign w:val="center"/>
                </w:tcPr>
                <w:p>
                  <w:pPr>
                    <w:rPr>
                      <w:bCs/>
                      <w:szCs w:val="21"/>
                    </w:rPr>
                  </w:pPr>
                  <w:r>
                    <w:rPr>
                      <w:rFonts w:hint="eastAsia"/>
                      <w:bCs/>
                      <w:szCs w:val="21"/>
                    </w:rPr>
                    <w:t>食品安全事故为0</w:t>
                  </w:r>
                </w:p>
              </w:tc>
              <w:tc>
                <w:tcPr>
                  <w:tcW w:w="1043" w:type="dxa"/>
                  <w:vAlign w:val="center"/>
                </w:tcPr>
                <w:p>
                  <w:pPr>
                    <w:rPr>
                      <w:bCs/>
                      <w:szCs w:val="21"/>
                    </w:rPr>
                  </w:pPr>
                  <w:r>
                    <w:rPr>
                      <w:rFonts w:hint="eastAsia"/>
                      <w:bCs/>
                      <w:szCs w:val="21"/>
                    </w:rPr>
                    <w:t>每季度</w:t>
                  </w:r>
                </w:p>
              </w:tc>
              <w:tc>
                <w:tcPr>
                  <w:tcW w:w="2526" w:type="dxa"/>
                  <w:vAlign w:val="center"/>
                </w:tcPr>
                <w:p>
                  <w:pPr>
                    <w:rPr>
                      <w:bCs/>
                      <w:szCs w:val="21"/>
                    </w:rPr>
                  </w:pPr>
                  <w:r>
                    <w:rPr>
                      <w:rFonts w:hint="eastAsia"/>
                      <w:bCs/>
                      <w:szCs w:val="21"/>
                    </w:rPr>
                    <w:t>重大质量安全事故发生0次</w:t>
                  </w:r>
                </w:p>
              </w:tc>
              <w:tc>
                <w:tcPr>
                  <w:tcW w:w="1032" w:type="dxa"/>
                </w:tcPr>
                <w:p>
                  <w:pPr>
                    <w:spacing w:before="156" w:beforeLines="50"/>
                    <w:jc w:val="center"/>
                    <w:rPr>
                      <w:bCs/>
                      <w:szCs w:val="21"/>
                    </w:rPr>
                  </w:pPr>
                  <w:r>
                    <w:rPr>
                      <w:rFonts w:hint="eastAsia"/>
                      <w:bCs/>
                      <w:szCs w:val="21"/>
                    </w:rPr>
                    <w:t>各部门</w:t>
                  </w:r>
                </w:p>
              </w:tc>
              <w:tc>
                <w:tcPr>
                  <w:tcW w:w="2109" w:type="dxa"/>
                </w:tcPr>
                <w:p>
                  <w:pPr>
                    <w:spacing w:before="156" w:beforeLines="50"/>
                    <w:jc w:val="center"/>
                    <w:rPr>
                      <w:bCs/>
                      <w:szCs w:val="21"/>
                    </w:rPr>
                  </w:pPr>
                  <w:r>
                    <w:rPr>
                      <w:rFonts w:hint="eastAsia"/>
                      <w:bCs/>
                      <w:szCs w:val="21"/>
                    </w:rPr>
                    <w:t>已完成</w:t>
                  </w:r>
                </w:p>
              </w:tc>
            </w:tr>
          </w:tbl>
          <w:p>
            <w:pPr>
              <w:rPr>
                <w:rFonts w:ascii="宋体" w:hAnsi="宋体"/>
              </w:rPr>
            </w:pPr>
          </w:p>
          <w:p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目标已实现，202</w:t>
            </w:r>
            <w:r>
              <w:t>1</w:t>
            </w:r>
            <w:r>
              <w:rPr>
                <w:rFonts w:hint="eastAsia"/>
              </w:rPr>
              <w:t>年8月-</w:t>
            </w:r>
            <w:r>
              <w:t>2022</w:t>
            </w:r>
            <w:r>
              <w:rPr>
                <w:rFonts w:hint="eastAsia"/>
              </w:rPr>
              <w:t>年9月目标已完成；</w:t>
            </w:r>
          </w:p>
          <w:p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目标没有实现的，组织在内部及时进行原因分析并采取了改进措施。</w:t>
            </w:r>
          </w:p>
        </w:tc>
        <w:tc>
          <w:tcPr>
            <w:tcW w:w="1591" w:type="dxa"/>
            <w:vMerge w:val="continue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163" w:type="dxa"/>
            <w:gridSpan w:val="2"/>
            <w:vMerge w:val="restart"/>
            <w:shd w:val="clear" w:color="auto" w:fill="auto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变更的策划</w:t>
            </w:r>
          </w:p>
          <w:p/>
        </w:tc>
        <w:tc>
          <w:tcPr>
            <w:tcW w:w="960" w:type="dxa"/>
            <w:vMerge w:val="restart"/>
            <w:shd w:val="clear" w:color="auto" w:fill="auto"/>
          </w:tcPr>
          <w:p>
            <w:r>
              <w:rPr>
                <w:rFonts w:hint="eastAsia"/>
                <w:color w:val="000000"/>
                <w:szCs w:val="21"/>
              </w:rPr>
              <w:t>F6.3</w:t>
            </w:r>
          </w:p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5" w:type="dxa"/>
            <w:shd w:val="clear" w:color="auto" w:fill="auto"/>
          </w:tcPr>
          <w:p>
            <w:r>
              <w:rPr>
                <w:rFonts w:hint="eastAsia"/>
              </w:rPr>
              <w:t>如：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手册第6.3章、</w:t>
            </w:r>
            <w:r>
              <w:rPr/>
              <w:sym w:font="Wingdings" w:char="00FE"/>
            </w:r>
            <w:r>
              <w:rPr>
                <w:rFonts w:hint="eastAsia"/>
              </w:rPr>
              <w:t>《体系变更审批表》</w:t>
            </w:r>
          </w:p>
        </w:tc>
        <w:tc>
          <w:tcPr>
            <w:tcW w:w="1591" w:type="dxa"/>
            <w:vMerge w:val="restart"/>
            <w:shd w:val="clear" w:color="auto" w:fill="auto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2163" w:type="dxa"/>
            <w:gridSpan w:val="2"/>
            <w:vMerge w:val="continue"/>
            <w:shd w:val="clear" w:color="auto" w:fill="auto"/>
          </w:tcPr>
          <w:p/>
        </w:tc>
        <w:tc>
          <w:tcPr>
            <w:tcW w:w="960" w:type="dxa"/>
            <w:vMerge w:val="continue"/>
            <w:shd w:val="clear" w:color="auto" w:fill="auto"/>
          </w:tcPr>
          <w:p/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5" w:type="dxa"/>
            <w:shd w:val="clear" w:color="auto" w:fill="auto"/>
          </w:tcPr>
          <w:p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组织对相关管理体系进行变更时，变更应按所策划的方式实施；审核周期内的重大变更有：</w:t>
            </w:r>
          </w:p>
          <w:p>
            <w:pPr>
              <w:spacing w:before="40" w:after="40"/>
            </w:pPr>
            <w:r>
              <w:rPr>
                <w:rFonts w:hint="eastAsia"/>
              </w:rPr>
              <w:t xml:space="preserve">□组织结构变更 □部门职责变更 □主要原材料 □关键人员 □生产工艺/服务流程 </w:t>
            </w:r>
          </w:p>
          <w:p>
            <w:pPr>
              <w:spacing w:before="40" w:after="40"/>
            </w:pPr>
            <w:r>
              <w:rPr>
                <w:rFonts w:hint="eastAsia"/>
              </w:rPr>
              <w:t xml:space="preserve">□主要设备设施 □主要检测设备 </w:t>
            </w:r>
            <w:r>
              <w:rPr/>
              <w:sym w:font="Wingdings" w:char="00FE"/>
            </w:r>
            <w:r>
              <w:rPr>
                <w:rFonts w:hint="eastAsia"/>
              </w:rPr>
              <w:t>其他——体系运行一年以来未发生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96"/>
              <w:gridCol w:w="3632"/>
              <w:gridCol w:w="301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2" w:hRule="atLeast"/>
              </w:trPr>
              <w:tc>
                <w:tcPr>
                  <w:tcW w:w="2396" w:type="dxa"/>
                </w:tcPr>
                <w:p>
                  <w:r>
                    <w:rPr>
                      <w:rFonts w:hint="eastAsia"/>
                    </w:rPr>
                    <w:t>体系变更的内容说明</w:t>
                  </w:r>
                </w:p>
              </w:tc>
              <w:tc>
                <w:tcPr>
                  <w:tcW w:w="3632" w:type="dxa"/>
                </w:tcPr>
                <w:p/>
              </w:tc>
              <w:tc>
                <w:tcPr>
                  <w:tcW w:w="3015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96" w:type="dxa"/>
                </w:tcPr>
                <w:p>
                  <w:r>
                    <w:rPr>
                      <w:rFonts w:hint="eastAsia"/>
                    </w:rPr>
                    <w:t>评价内容</w:t>
                  </w:r>
                </w:p>
              </w:tc>
              <w:tc>
                <w:tcPr>
                  <w:tcW w:w="3632" w:type="dxa"/>
                </w:tcPr>
                <w:p>
                  <w:r>
                    <w:rPr>
                      <w:rFonts w:hint="eastAsia"/>
                    </w:rPr>
                    <w:t>评价具体描述</w:t>
                  </w:r>
                </w:p>
              </w:tc>
              <w:tc>
                <w:tcPr>
                  <w:tcW w:w="3015" w:type="dxa"/>
                </w:tcPr>
                <w:p>
                  <w:r>
                    <w:rPr>
                      <w:rFonts w:hint="eastAsia"/>
                    </w:rPr>
                    <w:t>评价结论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96" w:type="dxa"/>
                </w:tcPr>
                <w:p>
                  <w:r>
                    <w:rPr>
                      <w:rFonts w:hint="eastAsia"/>
                    </w:rPr>
                    <w:t>变更目的</w:t>
                  </w:r>
                </w:p>
              </w:tc>
              <w:tc>
                <w:tcPr>
                  <w:tcW w:w="3632" w:type="dxa"/>
                </w:tcPr>
                <w:p>
                  <w:r>
                    <w:rPr>
                      <w:rFonts w:hint="eastAsia"/>
                    </w:rPr>
                    <w:t>不涉及</w:t>
                  </w:r>
                </w:p>
              </w:tc>
              <w:tc>
                <w:tcPr>
                  <w:tcW w:w="3015" w:type="dxa"/>
                </w:tcPr>
                <w:p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 xml:space="preserve">可以满足   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不可以满足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96" w:type="dxa"/>
                </w:tcPr>
                <w:p>
                  <w:r>
                    <w:rPr>
                      <w:rFonts w:hint="eastAsia"/>
                    </w:rPr>
                    <w:t>其潜在后果</w:t>
                  </w:r>
                </w:p>
              </w:tc>
              <w:tc>
                <w:tcPr>
                  <w:tcW w:w="3632" w:type="dxa"/>
                </w:tcPr>
                <w:p>
                  <w:r>
                    <w:rPr>
                      <w:rFonts w:hint="eastAsia"/>
                    </w:rPr>
                    <w:t>不涉及</w:t>
                  </w:r>
                </w:p>
              </w:tc>
              <w:tc>
                <w:tcPr>
                  <w:tcW w:w="3015" w:type="dxa"/>
                </w:tcPr>
                <w:p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 xml:space="preserve">可以满足   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不可以满足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96" w:type="dxa"/>
                </w:tcPr>
                <w:p>
                  <w:r>
                    <w:rPr>
                      <w:rFonts w:hint="eastAsia"/>
                    </w:rPr>
                    <w:t>质量管理体系的完整性</w:t>
                  </w:r>
                </w:p>
              </w:tc>
              <w:tc>
                <w:tcPr>
                  <w:tcW w:w="3632" w:type="dxa"/>
                </w:tcPr>
                <w:p>
                  <w:r>
                    <w:rPr>
                      <w:rFonts w:hint="eastAsia"/>
                    </w:rPr>
                    <w:t>不涉及</w:t>
                  </w:r>
                </w:p>
              </w:tc>
              <w:tc>
                <w:tcPr>
                  <w:tcW w:w="3015" w:type="dxa"/>
                </w:tcPr>
                <w:p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 xml:space="preserve">可以满足   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不可以满足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96" w:type="dxa"/>
                </w:tcPr>
                <w:p>
                  <w:r>
                    <w:rPr>
                      <w:rFonts w:hint="eastAsia"/>
                    </w:rPr>
                    <w:t>资源的可获得性</w:t>
                  </w:r>
                </w:p>
              </w:tc>
              <w:tc>
                <w:tcPr>
                  <w:tcW w:w="3632" w:type="dxa"/>
                </w:tcPr>
                <w:p>
                  <w:r>
                    <w:rPr>
                      <w:rFonts w:hint="eastAsia"/>
                    </w:rPr>
                    <w:t>不涉及</w:t>
                  </w:r>
                </w:p>
              </w:tc>
              <w:tc>
                <w:tcPr>
                  <w:tcW w:w="3015" w:type="dxa"/>
                </w:tcPr>
                <w:p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 xml:space="preserve">可以满足   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不可以满足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96" w:type="dxa"/>
                </w:tcPr>
                <w:p>
                  <w:r>
                    <w:rPr>
                      <w:rFonts w:hint="eastAsia"/>
                    </w:rPr>
                    <w:t>职责和权限的分配或再分配</w:t>
                  </w:r>
                </w:p>
              </w:tc>
              <w:tc>
                <w:tcPr>
                  <w:tcW w:w="3632" w:type="dxa"/>
                </w:tcPr>
                <w:p>
                  <w:r>
                    <w:rPr>
                      <w:rFonts w:hint="eastAsia"/>
                    </w:rPr>
                    <w:t>不涉及</w:t>
                  </w:r>
                </w:p>
              </w:tc>
              <w:tc>
                <w:tcPr>
                  <w:tcW w:w="3015" w:type="dxa"/>
                </w:tcPr>
                <w:p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 xml:space="preserve">可以满足   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不可以满足</w:t>
                  </w:r>
                </w:p>
              </w:tc>
            </w:tr>
          </w:tbl>
          <w:p/>
        </w:tc>
        <w:tc>
          <w:tcPr>
            <w:tcW w:w="1591" w:type="dxa"/>
            <w:vMerge w:val="continue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163" w:type="dxa"/>
            <w:gridSpan w:val="2"/>
            <w:vMerge w:val="restart"/>
          </w:tcPr>
          <w:p>
            <w:r>
              <w:rPr>
                <w:rFonts w:hint="eastAsia"/>
              </w:rPr>
              <w:t>资源（总则）</w:t>
            </w:r>
          </w:p>
        </w:tc>
        <w:tc>
          <w:tcPr>
            <w:tcW w:w="960" w:type="dxa"/>
            <w:vMerge w:val="restart"/>
          </w:tcPr>
          <w:p>
            <w:r>
              <w:rPr>
                <w:rFonts w:hint="eastAsia"/>
                <w:color w:val="000000"/>
                <w:szCs w:val="21"/>
              </w:rPr>
              <w:t>F7.1</w:t>
            </w:r>
          </w:p>
        </w:tc>
        <w:tc>
          <w:tcPr>
            <w:tcW w:w="745" w:type="dxa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5" w:type="dxa"/>
          </w:tcPr>
          <w:p>
            <w:r>
              <w:rPr>
                <w:rFonts w:hint="eastAsia"/>
              </w:rPr>
              <w:t>如：</w:t>
            </w:r>
            <w:r>
              <w:rPr/>
              <w:sym w:font="Wingdings" w:char="00FE"/>
            </w:r>
            <w:r>
              <w:rPr>
                <w:rFonts w:hint="eastAsia"/>
              </w:rPr>
              <w:t>管理手册第7.1章</w:t>
            </w:r>
          </w:p>
        </w:tc>
        <w:tc>
          <w:tcPr>
            <w:tcW w:w="1591" w:type="dxa"/>
            <w:vMerge w:val="restart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  <w:p/>
          <w:p/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2163" w:type="dxa"/>
            <w:gridSpan w:val="2"/>
            <w:vMerge w:val="continue"/>
          </w:tcPr>
          <w:p/>
        </w:tc>
        <w:tc>
          <w:tcPr>
            <w:tcW w:w="960" w:type="dxa"/>
            <w:vMerge w:val="continue"/>
          </w:tcPr>
          <w:p/>
        </w:tc>
        <w:tc>
          <w:tcPr>
            <w:tcW w:w="745" w:type="dxa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5" w:type="dxa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和最高管理层确定并提供所需的资源，以建立、实施、保持和持续改进质量管理体系。 </w:t>
            </w:r>
          </w:p>
          <w:p>
            <w:pPr>
              <w:numPr>
                <w:ilvl w:val="0"/>
                <w:numId w:val="3"/>
              </w:num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现有内部资源的能力；</w:t>
            </w:r>
          </w:p>
          <w:p>
            <w:r>
              <w:rPr>
                <w:rFonts w:hint="eastAsia"/>
              </w:rPr>
              <w:t>建筑面积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2700平方米 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</w:rPr>
              <w:t xml:space="preserve"> ；生产车间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>1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 xml:space="preserve">个；检验室 </w:t>
            </w:r>
            <w:r>
              <w:rPr>
                <w:rFonts w:hint="eastAsia"/>
                <w:u w:val="single"/>
              </w:rPr>
              <w:t xml:space="preserve">1 </w:t>
            </w:r>
            <w:r>
              <w:rPr>
                <w:rFonts w:hint="eastAsia"/>
              </w:rPr>
              <w:t>个；仓库</w:t>
            </w:r>
            <w:r>
              <w:rPr>
                <w:rFonts w:hint="eastAsia"/>
                <w:u w:val="single"/>
              </w:rPr>
              <w:t xml:space="preserve"> 2</w:t>
            </w:r>
            <w:r>
              <w:rPr>
                <w:rFonts w:hint="eastAsia"/>
              </w:rPr>
              <w:t>个</w:t>
            </w:r>
          </w:p>
          <w:p>
            <w:pPr>
              <w:rPr>
                <w:u w:val="single"/>
              </w:rPr>
            </w:pPr>
            <w:r>
              <w:rPr>
                <w:rFonts w:hint="eastAsia"/>
              </w:rPr>
              <w:t>主要设备有：</w:t>
            </w:r>
            <w:r>
              <w:rPr>
                <w:rFonts w:hint="eastAsia"/>
                <w:u w:val="single"/>
              </w:rPr>
              <w:t xml:space="preserve"> 微波干燥机、超微粉碎机、半自动包装机（列举2~4种）</w:t>
            </w:r>
          </w:p>
          <w:p>
            <w:pPr>
              <w:pStyle w:val="7"/>
            </w:pPr>
          </w:p>
          <w:p>
            <w:pPr>
              <w:widowControl/>
              <w:spacing w:before="4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动力设施和辅助设施的状况，存在下列的场所：</w:t>
            </w:r>
          </w:p>
          <w:p>
            <w:pPr>
              <w:widowControl/>
              <w:spacing w:before="40"/>
              <w:ind w:firstLine="210" w:firstLineChars="100"/>
              <w:jc w:val="left"/>
              <w:rPr>
                <w:color w:val="000000"/>
              </w:rPr>
            </w:pP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污水处理站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锅炉房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高压配电室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color w:val="000000"/>
              </w:rPr>
              <w:t xml:space="preserve">低压配电室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空压站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制冷站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消防中控室</w:t>
            </w:r>
          </w:p>
          <w:p>
            <w:pPr>
              <w:widowControl/>
              <w:spacing w:before="40"/>
              <w:ind w:left="210" w:leftChars="100"/>
              <w:jc w:val="left"/>
              <w:rPr>
                <w:color w:val="000000"/>
              </w:rPr>
            </w:pP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消防泵房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color w:val="000000"/>
              </w:rPr>
              <w:t xml:space="preserve">除尘装置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尾气处理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危化品库房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危险废弃物存放处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改建/扩建施工现场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color w:val="000000"/>
              </w:rPr>
              <w:t xml:space="preserve">食堂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宿舍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班车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其他——不涉及 </w:t>
            </w:r>
          </w:p>
          <w:p/>
          <w:p>
            <w:r>
              <w:rPr>
                <w:rFonts w:hint="eastAsia"/>
              </w:rPr>
              <w:t>特种设备：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叉车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行车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锅炉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电梯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压力容器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压力管道  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 xml:space="preserve">不适用  </w:t>
            </w:r>
          </w:p>
          <w:p>
            <w:pPr>
              <w:rPr>
                <w:u w:val="single"/>
              </w:rPr>
            </w:pPr>
            <w:r>
              <w:rPr>
                <w:rFonts w:hint="eastAsia"/>
              </w:rPr>
              <w:t>特种设备管理：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进行了定期检验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未进行定期检验的有： </w:t>
            </w:r>
            <w:r>
              <w:rPr>
                <w:rFonts w:hint="eastAsia"/>
                <w:u w:val="single"/>
              </w:rPr>
              <w:t xml:space="preserve">                </w:t>
            </w:r>
          </w:p>
          <w:p>
            <w:pPr>
              <w:numPr>
                <w:ilvl w:val="0"/>
                <w:numId w:val="4"/>
              </w:numPr>
              <w:rPr>
                <w:color w:val="000000"/>
                <w:szCs w:val="21"/>
                <w:u w:val="single"/>
              </w:rPr>
            </w:pPr>
            <w:r>
              <w:rPr>
                <w:rFonts w:hint="eastAsia"/>
                <w:color w:val="000000"/>
                <w:szCs w:val="21"/>
              </w:rPr>
              <w:t>还存在哪些局限和不足：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      无                          </w:t>
            </w:r>
          </w:p>
          <w:p>
            <w:pPr>
              <w:numPr>
                <w:ilvl w:val="0"/>
                <w:numId w:val="3"/>
              </w:numPr>
            </w:pPr>
            <w:r>
              <w:rPr>
                <w:rFonts w:hint="eastAsia"/>
                <w:color w:val="000000"/>
                <w:szCs w:val="21"/>
              </w:rPr>
              <w:t>需要从外部供方获得的资源：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成品运输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 xml:space="preserve">    </w:t>
            </w:r>
          </w:p>
        </w:tc>
        <w:tc>
          <w:tcPr>
            <w:tcW w:w="1591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163" w:type="dxa"/>
            <w:gridSpan w:val="2"/>
            <w:vMerge w:val="restart"/>
          </w:tcPr>
          <w:p>
            <w:r>
              <w:rPr>
                <w:rFonts w:hint="eastAsia"/>
                <w:color w:val="000000"/>
                <w:szCs w:val="21"/>
              </w:rPr>
              <w:t>人员</w:t>
            </w:r>
          </w:p>
        </w:tc>
        <w:tc>
          <w:tcPr>
            <w:tcW w:w="960" w:type="dxa"/>
            <w:vMerge w:val="restart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F7.1.1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F7.1.2</w:t>
            </w:r>
          </w:p>
          <w:p>
            <w:pPr>
              <w:pStyle w:val="7"/>
            </w:pPr>
          </w:p>
          <w:p>
            <w:pPr>
              <w:rPr>
                <w:color w:val="000000"/>
                <w:szCs w:val="21"/>
              </w:rPr>
            </w:pPr>
          </w:p>
        </w:tc>
        <w:tc>
          <w:tcPr>
            <w:tcW w:w="745" w:type="dxa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5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如：</w:t>
            </w:r>
            <w:r>
              <w:rPr/>
              <w:sym w:font="Wingdings" w:char="00FE"/>
            </w:r>
            <w:r>
              <w:rPr>
                <w:rFonts w:hint="eastAsia"/>
              </w:rPr>
              <w:t xml:space="preserve">手册第7.1.1、7.1.2条款  </w:t>
            </w:r>
            <w:r>
              <w:rPr/>
              <w:sym w:font="Wingdings" w:char="00FE"/>
            </w:r>
            <w:r>
              <w:rPr>
                <w:rFonts w:hint="eastAsia"/>
              </w:rPr>
              <w:t>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人力资源管理程序</w:t>
            </w:r>
            <w:r>
              <w:rPr>
                <w:rFonts w:hint="eastAsia"/>
              </w:rPr>
              <w:t>》</w:t>
            </w:r>
          </w:p>
        </w:tc>
        <w:tc>
          <w:tcPr>
            <w:tcW w:w="1591" w:type="dxa"/>
            <w:vMerge w:val="restart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pPr>
              <w:rPr>
                <w:b/>
                <w:bCs/>
              </w:rPr>
            </w:pPr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2163" w:type="dxa"/>
            <w:gridSpan w:val="2"/>
            <w:vMerge w:val="continue"/>
          </w:tcPr>
          <w:p/>
        </w:tc>
        <w:tc>
          <w:tcPr>
            <w:tcW w:w="960" w:type="dxa"/>
            <w:vMerge w:val="continue"/>
          </w:tcPr>
          <w:p/>
        </w:tc>
        <w:tc>
          <w:tcPr>
            <w:tcW w:w="745" w:type="dxa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5" w:type="dxa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和最高管理者了解了组织应确定并配备所需的人员情况，审核周期内，主要骨干人员没有变动。</w:t>
            </w:r>
          </w:p>
          <w:p>
            <w:pPr>
              <w:rPr>
                <w:color w:val="000000"/>
                <w:szCs w:val="21"/>
              </w:rPr>
            </w:pPr>
          </w:p>
          <w:tbl>
            <w:tblPr>
              <w:tblStyle w:val="9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91"/>
              <w:gridCol w:w="1292"/>
              <w:gridCol w:w="1292"/>
              <w:gridCol w:w="1292"/>
              <w:gridCol w:w="1292"/>
              <w:gridCol w:w="1292"/>
              <w:gridCol w:w="129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91" w:type="dxa"/>
                </w:tcPr>
                <w:p>
                  <w:pPr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</w:rPr>
                    <w:t>管理人员数</w:t>
                  </w:r>
                </w:p>
              </w:tc>
              <w:tc>
                <w:tcPr>
                  <w:tcW w:w="1292" w:type="dxa"/>
                </w:tcPr>
                <w:p>
                  <w:pPr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</w:rPr>
                    <w:t>技术人员数</w:t>
                  </w:r>
                </w:p>
              </w:tc>
              <w:tc>
                <w:tcPr>
                  <w:tcW w:w="1292" w:type="dxa"/>
                </w:tcPr>
                <w:p>
                  <w:pPr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操作人员数</w:t>
                  </w:r>
                </w:p>
              </w:tc>
              <w:tc>
                <w:tcPr>
                  <w:tcW w:w="1292" w:type="dxa"/>
                </w:tcPr>
                <w:p>
                  <w:pPr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临时工数</w:t>
                  </w:r>
                </w:p>
              </w:tc>
              <w:tc>
                <w:tcPr>
                  <w:tcW w:w="1292" w:type="dxa"/>
                </w:tcPr>
                <w:p>
                  <w:pPr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季节工数</w:t>
                  </w:r>
                </w:p>
              </w:tc>
              <w:tc>
                <w:tcPr>
                  <w:tcW w:w="1292" w:type="dxa"/>
                </w:tcPr>
                <w:p>
                  <w:pPr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辅助人员数</w:t>
                  </w:r>
                </w:p>
              </w:tc>
              <w:tc>
                <w:tcPr>
                  <w:tcW w:w="1292" w:type="dxa"/>
                </w:tcPr>
                <w:p>
                  <w:pPr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总人数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91" w:type="dxa"/>
                </w:tcPr>
                <w:p>
                  <w:pPr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7</w:t>
                  </w:r>
                </w:p>
              </w:tc>
              <w:tc>
                <w:tcPr>
                  <w:tcW w:w="1292" w:type="dxa"/>
                </w:tcPr>
                <w:p>
                  <w:pPr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0</w:t>
                  </w:r>
                </w:p>
              </w:tc>
              <w:tc>
                <w:tcPr>
                  <w:tcW w:w="1292" w:type="dxa"/>
                </w:tcPr>
                <w:p>
                  <w:pPr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23</w:t>
                  </w:r>
                </w:p>
              </w:tc>
              <w:tc>
                <w:tcPr>
                  <w:tcW w:w="1292" w:type="dxa"/>
                </w:tcPr>
                <w:p>
                  <w:pPr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0</w:t>
                  </w:r>
                </w:p>
              </w:tc>
              <w:tc>
                <w:tcPr>
                  <w:tcW w:w="1292" w:type="dxa"/>
                </w:tcPr>
                <w:p>
                  <w:pPr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0</w:t>
                  </w:r>
                </w:p>
              </w:tc>
              <w:tc>
                <w:tcPr>
                  <w:tcW w:w="1292" w:type="dxa"/>
                </w:tcPr>
                <w:p>
                  <w:pPr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0</w:t>
                  </w:r>
                </w:p>
              </w:tc>
              <w:tc>
                <w:tcPr>
                  <w:tcW w:w="1292" w:type="dxa"/>
                </w:tcPr>
                <w:p>
                  <w:pPr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30</w:t>
                  </w:r>
                </w:p>
              </w:tc>
            </w:tr>
          </w:tbl>
          <w:p/>
          <w:p>
            <w:r>
              <w:rPr>
                <w:rFonts w:hint="eastAsia"/>
              </w:rPr>
              <w:t>建立、 实施、 运行或评估食品安全管理体系时是否聘用外部专家：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是  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 xml:space="preserve">否  </w:t>
            </w:r>
          </w:p>
          <w:tbl>
            <w:tblPr>
              <w:tblStyle w:val="8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00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94"/>
              <w:gridCol w:w="4234"/>
              <w:gridCol w:w="301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FFFF00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94" w:type="dxa"/>
                  <w:shd w:val="clear" w:color="auto" w:fill="auto"/>
                </w:tcPr>
                <w:p>
                  <w:r>
                    <w:rPr>
                      <w:rFonts w:hint="eastAsia"/>
                    </w:rPr>
                    <w:t>最高学历</w:t>
                  </w:r>
                </w:p>
              </w:tc>
              <w:tc>
                <w:tcPr>
                  <w:tcW w:w="4234" w:type="dxa"/>
                  <w:shd w:val="clear" w:color="auto" w:fill="auto"/>
                </w:tcPr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专科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本科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硕士以上 </w:t>
                  </w:r>
                </w:p>
              </w:tc>
              <w:tc>
                <w:tcPr>
                  <w:tcW w:w="3015" w:type="dxa"/>
                  <w:shd w:val="clear" w:color="auto" w:fill="auto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FFFF00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94" w:type="dxa"/>
                  <w:shd w:val="clear" w:color="auto" w:fill="auto"/>
                </w:tcPr>
                <w:p>
                  <w:r>
                    <w:rPr>
                      <w:rFonts w:hint="eastAsia"/>
                    </w:rPr>
                    <w:t>教育专业</w:t>
                  </w:r>
                </w:p>
              </w:tc>
              <w:tc>
                <w:tcPr>
                  <w:tcW w:w="4234" w:type="dxa"/>
                  <w:shd w:val="clear" w:color="auto" w:fill="auto"/>
                </w:tcPr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食品相应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食品相关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食品不相关 </w:t>
                  </w:r>
                </w:p>
              </w:tc>
              <w:tc>
                <w:tcPr>
                  <w:tcW w:w="3015" w:type="dxa"/>
                  <w:shd w:val="clear" w:color="auto" w:fill="auto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FFFF00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94" w:type="dxa"/>
                  <w:shd w:val="clear" w:color="auto" w:fill="auto"/>
                </w:tcPr>
                <w:p>
                  <w:r>
                    <w:rPr>
                      <w:rFonts w:hint="eastAsia"/>
                    </w:rPr>
                    <w:t>职称</w:t>
                  </w:r>
                </w:p>
              </w:tc>
              <w:tc>
                <w:tcPr>
                  <w:tcW w:w="4234" w:type="dxa"/>
                  <w:shd w:val="clear" w:color="auto" w:fill="auto"/>
                </w:tcPr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助理工程师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工程师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高级工程师以上 </w:t>
                  </w:r>
                </w:p>
              </w:tc>
              <w:tc>
                <w:tcPr>
                  <w:tcW w:w="3015" w:type="dxa"/>
                  <w:shd w:val="clear" w:color="auto" w:fill="auto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FFFF00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94" w:type="dxa"/>
                  <w:shd w:val="clear" w:color="auto" w:fill="auto"/>
                </w:tcPr>
                <w:p>
                  <w:r>
                    <w:rPr>
                      <w:rFonts w:hint="eastAsia"/>
                    </w:rPr>
                    <w:t>专业工作经历</w:t>
                  </w:r>
                </w:p>
              </w:tc>
              <w:tc>
                <w:tcPr>
                  <w:tcW w:w="4234" w:type="dxa"/>
                  <w:shd w:val="clear" w:color="auto" w:fill="auto"/>
                </w:tcPr>
                <w:p>
                  <w:r>
                    <w:rPr>
                      <w:rFonts w:hint="eastAsia"/>
                    </w:rPr>
                    <w:t xml:space="preserve">    年</w:t>
                  </w:r>
                </w:p>
              </w:tc>
              <w:tc>
                <w:tcPr>
                  <w:tcW w:w="3015" w:type="dxa"/>
                  <w:shd w:val="clear" w:color="auto" w:fill="auto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94" w:type="dxa"/>
                  <w:shd w:val="clear" w:color="auto" w:fill="auto"/>
                </w:tcPr>
                <w:p>
                  <w:r>
                    <w:rPr>
                      <w:rFonts w:hint="eastAsia"/>
                    </w:rPr>
                    <w:t>责任和权限</w:t>
                  </w:r>
                </w:p>
              </w:tc>
              <w:tc>
                <w:tcPr>
                  <w:tcW w:w="4234" w:type="dxa"/>
                  <w:shd w:val="clear" w:color="auto" w:fill="auto"/>
                </w:tcPr>
                <w:p>
                  <w:r>
                    <w:rPr>
                      <w:rFonts w:hint="eastAsia"/>
                    </w:rPr>
                    <w:t>负责建立和保持管理体系</w:t>
                  </w:r>
                </w:p>
              </w:tc>
              <w:tc>
                <w:tcPr>
                  <w:tcW w:w="3015" w:type="dxa"/>
                  <w:shd w:val="clear" w:color="auto" w:fill="auto"/>
                </w:tcPr>
                <w:p/>
              </w:tc>
            </w:tr>
          </w:tbl>
          <w:p>
            <w:r>
              <w:rPr>
                <w:rFonts w:hint="eastAsia"/>
              </w:rPr>
              <w:t xml:space="preserve">        </w:t>
            </w:r>
          </w:p>
          <w:p>
            <w:r>
              <w:rPr>
                <w:rFonts w:hint="eastAsia"/>
              </w:rPr>
              <w:t>保留了外部专家的协议或合同。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是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否 （不涉及）</w:t>
            </w:r>
          </w:p>
          <w:p>
            <w:r>
              <w:rPr>
                <w:rFonts w:hint="eastAsia"/>
              </w:rPr>
              <w:t xml:space="preserve">    </w:t>
            </w:r>
          </w:p>
        </w:tc>
        <w:tc>
          <w:tcPr>
            <w:tcW w:w="1591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443" w:hRule="atLeast"/>
        </w:trPr>
        <w:tc>
          <w:tcPr>
            <w:tcW w:w="2149" w:type="dxa"/>
            <w:vMerge w:val="restart"/>
            <w:shd w:val="clear" w:color="auto" w:fill="auto"/>
          </w:tcPr>
          <w:p>
            <w:r>
              <w:t>食品安全管理体系外部建立的要素</w:t>
            </w:r>
          </w:p>
        </w:tc>
        <w:tc>
          <w:tcPr>
            <w:tcW w:w="960" w:type="dxa"/>
            <w:vMerge w:val="restart"/>
            <w:shd w:val="clear" w:color="auto" w:fill="auto"/>
          </w:tcPr>
          <w:p>
            <w:r>
              <w:rPr>
                <w:rFonts w:hint="eastAsia"/>
                <w:color w:val="000000"/>
                <w:szCs w:val="21"/>
              </w:rPr>
              <w:t>F7.1.5</w:t>
            </w:r>
          </w:p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5" w:type="dxa"/>
            <w:shd w:val="clear" w:color="auto" w:fill="auto"/>
          </w:tcPr>
          <w:p>
            <w:r>
              <w:rPr>
                <w:rFonts w:hint="eastAsia"/>
              </w:rPr>
              <w:t>如：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手册第</w:t>
            </w:r>
            <w:r>
              <w:rPr>
                <w:rFonts w:hint="eastAsia"/>
                <w:color w:val="000000"/>
                <w:szCs w:val="21"/>
              </w:rPr>
              <w:t>7.1.5</w:t>
            </w:r>
            <w:r>
              <w:rPr>
                <w:rFonts w:hint="eastAsia"/>
              </w:rPr>
              <w:t>条款、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《前提方案》、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《危害控制计划》</w:t>
            </w:r>
          </w:p>
        </w:tc>
        <w:tc>
          <w:tcPr>
            <w:tcW w:w="1591" w:type="dxa"/>
            <w:vMerge w:val="restart"/>
            <w:shd w:val="clear" w:color="auto" w:fill="auto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 w:ascii="宋体" w:hAnsi="宋体"/>
              </w:rPr>
              <w:t>符合</w:t>
            </w:r>
          </w:p>
          <w:p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 w:ascii="宋体" w:hAnsi="宋体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1690" w:hRule="atLeast"/>
        </w:trPr>
        <w:tc>
          <w:tcPr>
            <w:tcW w:w="2149" w:type="dxa"/>
            <w:vMerge w:val="continue"/>
            <w:shd w:val="clear" w:color="auto" w:fill="auto"/>
          </w:tcPr>
          <w:p/>
        </w:tc>
        <w:tc>
          <w:tcPr>
            <w:tcW w:w="960" w:type="dxa"/>
            <w:vMerge w:val="continue"/>
            <w:shd w:val="clear" w:color="auto" w:fill="auto"/>
          </w:tcPr>
          <w:p/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5" w:type="dxa"/>
            <w:shd w:val="clear" w:color="auto" w:fill="auto"/>
          </w:tcPr>
          <w:p>
            <w:r>
              <w:rPr>
                <w:rFonts w:hint="eastAsia"/>
              </w:rPr>
              <w:t>组织使用外部建立的FSMS要素，包括：</w:t>
            </w:r>
          </w:p>
          <w:p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建立PRP</w:t>
            </w:r>
          </w:p>
          <w:p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进行危害分析和危害控制计划</w:t>
            </w:r>
          </w:p>
          <w:p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建立、保持、更新和持续改进其FSMS</w:t>
            </w:r>
          </w:p>
          <w:p/>
          <w:p>
            <w:r>
              <w:rPr>
                <w:rFonts w:hint="eastAsia"/>
              </w:rPr>
              <w:t>组织确保所提供的要素为：</w:t>
            </w:r>
          </w:p>
          <w:p>
            <w:r>
              <w:rPr>
                <w:rFonts w:hint="eastAsia"/>
              </w:rPr>
              <w:t xml:space="preserve">a） 以符合ISO22000标准要求的方式建立；               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 xml:space="preserve">是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否  </w:t>
            </w:r>
          </w:p>
          <w:p>
            <w:r>
              <w:rPr>
                <w:rFonts w:hint="eastAsia"/>
              </w:rPr>
              <w:t xml:space="preserve">b） 适用于受审核方的场所、过程和产品；              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 xml:space="preserve">是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否</w:t>
            </w:r>
          </w:p>
          <w:p>
            <w:r>
              <w:rPr>
                <w:rFonts w:hint="eastAsia"/>
              </w:rPr>
              <w:t>c） 与食品安全小组调整其与受审核方的工艺和产品相适应；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 xml:space="preserve">是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否</w:t>
            </w:r>
          </w:p>
          <w:p>
            <w:r>
              <w:rPr>
                <w:rFonts w:hint="eastAsia"/>
              </w:rPr>
              <w:t xml:space="preserve">d） 按ISO22000标准要求实施、保持和更新；             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 xml:space="preserve">是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否</w:t>
            </w:r>
          </w:p>
          <w:p>
            <w:r>
              <w:rPr>
                <w:rFonts w:hint="eastAsia"/>
              </w:rPr>
              <w:t xml:space="preserve">e） 作为文件信息保留。                                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eq \o\ac(□,√)</w:instrTex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 xml:space="preserve">是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否</w:t>
            </w:r>
          </w:p>
        </w:tc>
        <w:tc>
          <w:tcPr>
            <w:tcW w:w="1591" w:type="dxa"/>
            <w:vMerge w:val="continue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163" w:type="dxa"/>
            <w:gridSpan w:val="2"/>
            <w:vMerge w:val="restart"/>
          </w:tcPr>
          <w:p>
            <w:r>
              <w:rPr>
                <w:rFonts w:hint="eastAsia"/>
              </w:rPr>
              <w:t>监视、测量、分析和评价</w:t>
            </w:r>
          </w:p>
          <w:p/>
        </w:tc>
        <w:tc>
          <w:tcPr>
            <w:tcW w:w="960" w:type="dxa"/>
            <w:vMerge w:val="restart"/>
          </w:tcPr>
          <w:p>
            <w:r>
              <w:rPr>
                <w:rFonts w:hint="eastAsia"/>
              </w:rPr>
              <w:t>F9.1.1</w:t>
            </w:r>
          </w:p>
          <w:p/>
        </w:tc>
        <w:tc>
          <w:tcPr>
            <w:tcW w:w="745" w:type="dxa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5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</w:rPr>
              <w:t>如：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管理手册9.1.1条款</w:t>
            </w:r>
          </w:p>
        </w:tc>
        <w:tc>
          <w:tcPr>
            <w:tcW w:w="1591" w:type="dxa"/>
            <w:vMerge w:val="restart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63" w:type="dxa"/>
            <w:gridSpan w:val="2"/>
            <w:vMerge w:val="continue"/>
          </w:tcPr>
          <w:p/>
        </w:tc>
        <w:tc>
          <w:tcPr>
            <w:tcW w:w="960" w:type="dxa"/>
            <w:vMerge w:val="continue"/>
          </w:tcPr>
          <w:p/>
        </w:tc>
        <w:tc>
          <w:tcPr>
            <w:tcW w:w="745" w:type="dxa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5" w:type="dxa"/>
          </w:tcPr>
          <w:p>
            <w:r>
              <w:rPr>
                <w:rFonts w:hint="eastAsia"/>
              </w:rPr>
              <w:t>组织对监视和测量的食品安全绩效：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73"/>
              <w:gridCol w:w="2368"/>
              <w:gridCol w:w="1955"/>
              <w:gridCol w:w="1809"/>
              <w:gridCol w:w="173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173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监视和测量的对象</w:t>
                  </w:r>
                </w:p>
              </w:tc>
              <w:tc>
                <w:tcPr>
                  <w:tcW w:w="2368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监视、测量、分析和评价的方法</w:t>
                  </w:r>
                </w:p>
              </w:tc>
              <w:tc>
                <w:tcPr>
                  <w:tcW w:w="1955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监视和测量的频次和时机</w:t>
                  </w:r>
                </w:p>
              </w:tc>
              <w:tc>
                <w:tcPr>
                  <w:tcW w:w="1809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评价其食品安全绩效所依据的准则和适当的参数</w:t>
                  </w:r>
                </w:p>
              </w:tc>
              <w:tc>
                <w:tcPr>
                  <w:tcW w:w="1738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分析和评价的频次和时机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173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产品和生产用水</w:t>
                  </w:r>
                </w:p>
              </w:tc>
              <w:tc>
                <w:tcPr>
                  <w:tcW w:w="2368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委托外部定期进行检测</w:t>
                  </w:r>
                </w:p>
              </w:tc>
              <w:tc>
                <w:tcPr>
                  <w:tcW w:w="1955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产品：每半年委托外部进行；生产用水：每年进行</w:t>
                  </w:r>
                </w:p>
              </w:tc>
              <w:tc>
                <w:tcPr>
                  <w:tcW w:w="1809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产品标准、企业标准、GB5749-2006</w:t>
                  </w:r>
                </w:p>
              </w:tc>
              <w:tc>
                <w:tcPr>
                  <w:tcW w:w="1738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 w:ascii="Segoe UI Emoji" w:hAnsi="Segoe UI Emoji" w:cs="Segoe UI Emoji"/>
                      <w:color w:val="000000"/>
                      <w:sz w:val="15"/>
                      <w:szCs w:val="15"/>
                    </w:rPr>
                    <w:t>□</w:t>
                  </w:r>
                  <w:r>
                    <w:rPr>
                      <w:rFonts w:hint="eastAsia"/>
                      <w:szCs w:val="21"/>
                    </w:rPr>
                    <w:t>每月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sym w:font="Wingdings 2" w:char="0052"/>
                  </w:r>
                  <w:r>
                    <w:rPr>
                      <w:rFonts w:hint="eastAsia"/>
                      <w:szCs w:val="21"/>
                    </w:rPr>
                    <w:t xml:space="preserve">每季度 </w:t>
                  </w:r>
                  <w:r>
                    <w:rPr>
                      <w:rFonts w:hint="eastAsia" w:ascii="Segoe UI Emoji" w:hAnsi="Segoe UI Emoji" w:cs="Segoe UI Emoji"/>
                      <w:color w:val="000000"/>
                      <w:sz w:val="15"/>
                      <w:szCs w:val="15"/>
                    </w:rPr>
                    <w:sym w:font="Wingdings 2" w:char="0052"/>
                  </w:r>
                  <w:r>
                    <w:rPr>
                      <w:rFonts w:hint="eastAsia"/>
                      <w:szCs w:val="21"/>
                    </w:rPr>
                    <w:t>每年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73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过程</w:t>
                  </w:r>
                </w:p>
              </w:tc>
              <w:tc>
                <w:tcPr>
                  <w:tcW w:w="2368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远程巡视</w:t>
                  </w:r>
                </w:p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抽查记录</w:t>
                  </w:r>
                </w:p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对目标、供方业绩、过程业绩、满意度进行统计</w:t>
                  </w:r>
                </w:p>
              </w:tc>
              <w:tc>
                <w:tcPr>
                  <w:tcW w:w="1955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ascii="Segoe UI Emoji" w:hAnsi="Segoe UI Emoji" w:cs="Segoe UI Emoji"/>
                      <w:color w:val="000000"/>
                      <w:sz w:val="15"/>
                      <w:szCs w:val="15"/>
                    </w:rPr>
                    <w:t>☑</w:t>
                  </w:r>
                  <w:r>
                    <w:rPr>
                      <w:rFonts w:hint="eastAsia"/>
                      <w:szCs w:val="21"/>
                    </w:rPr>
                    <w:t>定期检查</w:t>
                  </w:r>
                </w:p>
                <w:p>
                  <w:pPr>
                    <w:rPr>
                      <w:szCs w:val="21"/>
                    </w:rPr>
                  </w:pPr>
                  <w:r>
                    <w:rPr>
                      <w:rFonts w:ascii="Segoe UI Emoji" w:hAnsi="Segoe UI Emoji" w:cs="Segoe UI Emoji"/>
                      <w:color w:val="000000"/>
                      <w:sz w:val="15"/>
                      <w:szCs w:val="15"/>
                    </w:rPr>
                    <w:t>☑</w:t>
                  </w:r>
                  <w:r>
                    <w:rPr>
                      <w:rFonts w:hint="eastAsia"/>
                      <w:szCs w:val="21"/>
                    </w:rPr>
                    <w:t>抽查</w:t>
                  </w:r>
                </w:p>
                <w:p>
                  <w:pPr>
                    <w:rPr>
                      <w:szCs w:val="21"/>
                    </w:rPr>
                  </w:pPr>
                  <w:r>
                    <w:rPr>
                      <w:rFonts w:ascii="Segoe UI Emoji" w:hAnsi="Segoe UI Emoji" w:cs="Segoe UI Emoji"/>
                      <w:color w:val="000000"/>
                      <w:sz w:val="15"/>
                      <w:szCs w:val="15"/>
                    </w:rPr>
                    <w:t>☑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每年</w:t>
                  </w:r>
                </w:p>
              </w:tc>
              <w:tc>
                <w:tcPr>
                  <w:tcW w:w="1809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相关标准、程序文件要求等</w:t>
                  </w:r>
                </w:p>
              </w:tc>
              <w:tc>
                <w:tcPr>
                  <w:tcW w:w="1738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ascii="Segoe UI Emoji" w:hAnsi="Segoe UI Emoji" w:cs="Segoe UI Emoji"/>
                      <w:color w:val="000000"/>
                      <w:sz w:val="15"/>
                      <w:szCs w:val="15"/>
                    </w:rPr>
                    <w:t>☑</w:t>
                  </w:r>
                  <w:r>
                    <w:rPr>
                      <w:rFonts w:hint="eastAsia"/>
                      <w:szCs w:val="21"/>
                    </w:rPr>
                    <w:t>每月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sym w:font="Wingdings 2" w:char="0052"/>
                  </w:r>
                  <w:r>
                    <w:rPr>
                      <w:rFonts w:hint="eastAsia"/>
                      <w:szCs w:val="21"/>
                    </w:rPr>
                    <w:t xml:space="preserve">每季度 </w:t>
                  </w:r>
                  <w:r>
                    <w:rPr>
                      <w:rFonts w:hint="eastAsia" w:ascii="Segoe UI Emoji" w:hAnsi="Segoe UI Emoji" w:cs="Segoe UI Emoji"/>
                      <w:color w:val="000000"/>
                      <w:sz w:val="15"/>
                      <w:szCs w:val="15"/>
                    </w:rPr>
                    <w:t>□</w:t>
                  </w:r>
                  <w:r>
                    <w:rPr>
                      <w:rFonts w:hint="eastAsia"/>
                      <w:szCs w:val="21"/>
                    </w:rPr>
                    <w:t>每年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73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体系</w:t>
                  </w:r>
                </w:p>
              </w:tc>
              <w:tc>
                <w:tcPr>
                  <w:tcW w:w="2368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内部审核；对内审不符合项进行分析</w:t>
                  </w:r>
                </w:p>
              </w:tc>
              <w:tc>
                <w:tcPr>
                  <w:tcW w:w="1955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ascii="Segoe UI Emoji" w:hAnsi="Segoe UI Emoji" w:cs="Segoe UI Emoji"/>
                      <w:color w:val="000000"/>
                      <w:sz w:val="15"/>
                      <w:szCs w:val="15"/>
                    </w:rPr>
                    <w:t>☑</w:t>
                  </w:r>
                  <w:r>
                    <w:rPr>
                      <w:rFonts w:hint="eastAsia"/>
                      <w:szCs w:val="21"/>
                    </w:rPr>
                    <w:t>按年度内审计划</w:t>
                  </w:r>
                </w:p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sym w:font="Wingdings 2" w:char="0052"/>
                  </w:r>
                  <w:r>
                    <w:rPr>
                      <w:rFonts w:hint="eastAsia"/>
                      <w:szCs w:val="21"/>
                    </w:rPr>
                    <w:t>每年一次</w:t>
                  </w:r>
                </w:p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sym w:font="Wingdings 2" w:char="0052"/>
                  </w:r>
                  <w:r>
                    <w:rPr>
                      <w:rFonts w:hint="eastAsia"/>
                      <w:color w:val="000000"/>
                      <w:szCs w:val="21"/>
                    </w:rPr>
                    <w:t>特殊情况增加</w:t>
                  </w:r>
                </w:p>
              </w:tc>
              <w:tc>
                <w:tcPr>
                  <w:tcW w:w="1809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ISO22000：2018《内部审核控制程序》</w:t>
                  </w:r>
                </w:p>
              </w:tc>
              <w:tc>
                <w:tcPr>
                  <w:tcW w:w="1738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  <w:szCs w:val="21"/>
                    </w:rPr>
                    <w:t>每月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 xml:space="preserve"> □</w:t>
                  </w:r>
                  <w:r>
                    <w:rPr>
                      <w:rFonts w:hint="eastAsia"/>
                      <w:szCs w:val="21"/>
                    </w:rPr>
                    <w:t xml:space="preserve">每季度 </w:t>
                  </w:r>
                  <w:r>
                    <w:rPr>
                      <w:rFonts w:ascii="Segoe UI Emoji" w:hAnsi="Segoe UI Emoji" w:cs="Segoe UI Emoji"/>
                      <w:color w:val="000000"/>
                      <w:sz w:val="15"/>
                      <w:szCs w:val="15"/>
                    </w:rPr>
                    <w:t>☑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每年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173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体系有效性</w:t>
                  </w:r>
                </w:p>
              </w:tc>
              <w:tc>
                <w:tcPr>
                  <w:tcW w:w="2368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管理评审，对FSMS存在的需要问题进行分析</w:t>
                  </w:r>
                </w:p>
              </w:tc>
              <w:tc>
                <w:tcPr>
                  <w:tcW w:w="1955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ascii="Segoe UI Emoji" w:hAnsi="Segoe UI Emoji" w:cs="Segoe UI Emoji"/>
                      <w:color w:val="000000"/>
                      <w:sz w:val="15"/>
                      <w:szCs w:val="15"/>
                    </w:rPr>
                    <w:t>☑</w:t>
                  </w:r>
                  <w:r>
                    <w:rPr>
                      <w:rFonts w:hint="eastAsia"/>
                      <w:szCs w:val="21"/>
                    </w:rPr>
                    <w:t>每年一次</w:t>
                  </w:r>
                </w:p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sym w:font="Wingdings 2" w:char="0052"/>
                  </w:r>
                  <w:r>
                    <w:rPr>
                      <w:rFonts w:hint="eastAsia"/>
                      <w:color w:val="000000"/>
                      <w:szCs w:val="21"/>
                    </w:rPr>
                    <w:t>特殊情况增加</w:t>
                  </w:r>
                </w:p>
              </w:tc>
              <w:tc>
                <w:tcPr>
                  <w:tcW w:w="1809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ISO22000：2018《管理评审控制程序》</w:t>
                  </w:r>
                </w:p>
              </w:tc>
              <w:tc>
                <w:tcPr>
                  <w:tcW w:w="1738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  <w:szCs w:val="21"/>
                    </w:rPr>
                    <w:t>每月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 xml:space="preserve"> □</w:t>
                  </w:r>
                  <w:r>
                    <w:rPr>
                      <w:rFonts w:hint="eastAsia"/>
                      <w:szCs w:val="21"/>
                    </w:rPr>
                    <w:t xml:space="preserve">每季度 </w:t>
                  </w:r>
                  <w:r>
                    <w:rPr>
                      <w:rFonts w:ascii="Segoe UI Emoji" w:hAnsi="Segoe UI Emoji" w:cs="Segoe UI Emoji"/>
                      <w:color w:val="000000"/>
                      <w:sz w:val="15"/>
                      <w:szCs w:val="15"/>
                    </w:rPr>
                    <w:t>☑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每年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173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相关方反馈</w:t>
                  </w:r>
                </w:p>
              </w:tc>
              <w:tc>
                <w:tcPr>
                  <w:tcW w:w="2368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反馈处理，对问题进行统计</w:t>
                  </w:r>
                </w:p>
              </w:tc>
              <w:tc>
                <w:tcPr>
                  <w:tcW w:w="1955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ascii="Segoe UI Emoji" w:hAnsi="Segoe UI Emoji" w:cs="Segoe UI Emoji"/>
                      <w:color w:val="000000"/>
                      <w:sz w:val="15"/>
                      <w:szCs w:val="15"/>
                    </w:rPr>
                    <w:t>☑</w:t>
                  </w:r>
                  <w:r>
                    <w:rPr>
                      <w:rFonts w:hint="eastAsia"/>
                      <w:szCs w:val="21"/>
                    </w:rPr>
                    <w:t>每年一次</w:t>
                  </w:r>
                </w:p>
                <w:p>
                  <w:pPr>
                    <w:rPr>
                      <w:szCs w:val="21"/>
                    </w:rPr>
                  </w:pPr>
                </w:p>
              </w:tc>
              <w:tc>
                <w:tcPr>
                  <w:tcW w:w="1809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按企业程序文件</w:t>
                  </w:r>
                </w:p>
              </w:tc>
              <w:tc>
                <w:tcPr>
                  <w:tcW w:w="1738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  <w:szCs w:val="21"/>
                    </w:rPr>
                    <w:t>每月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 xml:space="preserve"> □</w:t>
                  </w:r>
                  <w:r>
                    <w:rPr>
                      <w:rFonts w:hint="eastAsia"/>
                      <w:szCs w:val="21"/>
                    </w:rPr>
                    <w:t xml:space="preserve">每季度 </w:t>
                  </w:r>
                  <w:r>
                    <w:rPr>
                      <w:rFonts w:ascii="Segoe UI Emoji" w:hAnsi="Segoe UI Emoji" w:cs="Segoe UI Emoji"/>
                      <w:color w:val="000000"/>
                      <w:sz w:val="15"/>
                      <w:szCs w:val="15"/>
                    </w:rPr>
                    <w:t>☑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每年</w:t>
                  </w:r>
                </w:p>
              </w:tc>
            </w:tr>
          </w:tbl>
          <w:p/>
        </w:tc>
        <w:tc>
          <w:tcPr>
            <w:tcW w:w="1591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63" w:type="dxa"/>
            <w:gridSpan w:val="2"/>
            <w:vMerge w:val="restart"/>
          </w:tcPr>
          <w:p>
            <w:r>
              <w:rPr>
                <w:rFonts w:hint="eastAsia"/>
              </w:rPr>
              <w:t>管理评审</w:t>
            </w:r>
          </w:p>
          <w:p/>
        </w:tc>
        <w:tc>
          <w:tcPr>
            <w:tcW w:w="960" w:type="dxa"/>
            <w:vMerge w:val="restart"/>
          </w:tcPr>
          <w:p>
            <w:r>
              <w:rPr>
                <w:rFonts w:hint="eastAsia"/>
              </w:rPr>
              <w:t>F9.3</w:t>
            </w:r>
          </w:p>
        </w:tc>
        <w:tc>
          <w:tcPr>
            <w:tcW w:w="745" w:type="dxa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5" w:type="dxa"/>
          </w:tcPr>
          <w:p>
            <w:r>
              <w:rPr>
                <w:rFonts w:hint="eastAsia"/>
              </w:rPr>
              <w:t>如：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《管理评审控制程序》 </w:t>
            </w:r>
          </w:p>
        </w:tc>
        <w:tc>
          <w:tcPr>
            <w:tcW w:w="1591" w:type="dxa"/>
            <w:vMerge w:val="restart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2163" w:type="dxa"/>
            <w:gridSpan w:val="2"/>
            <w:vMerge w:val="continue"/>
          </w:tcPr>
          <w:p/>
        </w:tc>
        <w:tc>
          <w:tcPr>
            <w:tcW w:w="960" w:type="dxa"/>
            <w:vMerge w:val="continue"/>
          </w:tcPr>
          <w:p/>
        </w:tc>
        <w:tc>
          <w:tcPr>
            <w:tcW w:w="745" w:type="dxa"/>
          </w:tcPr>
          <w:p>
            <w:pPr>
              <w:widowControl/>
              <w:spacing w:before="40"/>
              <w:jc w:val="left"/>
              <w:rPr>
                <w:color w:val="000000"/>
                <w:szCs w:val="18"/>
              </w:rPr>
            </w:pPr>
          </w:p>
          <w:p>
            <w:r>
              <w:rPr>
                <w:rFonts w:hint="eastAsia"/>
              </w:rPr>
              <w:t>运行证据</w:t>
            </w:r>
          </w:p>
        </w:tc>
        <w:tc>
          <w:tcPr>
            <w:tcW w:w="9255" w:type="dxa"/>
          </w:tcPr>
          <w:p>
            <w:pPr>
              <w:widowControl/>
              <w:spacing w:before="40"/>
              <w:jc w:val="left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自</w:t>
            </w:r>
            <w:r>
              <w:rPr/>
              <w:sym w:font="Wingdings" w:char="00FE"/>
            </w:r>
            <w:r>
              <w:rPr>
                <w:rFonts w:hint="eastAsia"/>
                <w:color w:val="000000"/>
                <w:szCs w:val="18"/>
              </w:rPr>
              <w:t>管理体系建立后/</w:t>
            </w:r>
            <w:r>
              <w:rPr/>
              <w:sym w:font="Wingdings" w:char="00A8"/>
            </w:r>
            <w:r>
              <w:rPr>
                <w:rFonts w:hint="eastAsia"/>
              </w:rPr>
              <w:t>近一年</w:t>
            </w:r>
            <w:r>
              <w:rPr>
                <w:rFonts w:hint="eastAsia"/>
                <w:color w:val="000000"/>
                <w:szCs w:val="18"/>
              </w:rPr>
              <w:t>，于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202</w:t>
            </w:r>
            <w:r>
              <w:rPr>
                <w:color w:val="000000"/>
                <w:szCs w:val="18"/>
                <w:u w:val="single"/>
              </w:rPr>
              <w:t xml:space="preserve">2 </w:t>
            </w:r>
            <w:r>
              <w:rPr>
                <w:rFonts w:hint="eastAsia"/>
                <w:color w:val="000000"/>
                <w:szCs w:val="18"/>
              </w:rPr>
              <w:t>年</w:t>
            </w:r>
            <w:r>
              <w:rPr>
                <w:rFonts w:hint="eastAsia"/>
                <w:color w:val="000000"/>
                <w:szCs w:val="18"/>
                <w:u w:val="single"/>
              </w:rPr>
              <w:t>4</w:t>
            </w:r>
            <w:r>
              <w:rPr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月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25</w:t>
            </w:r>
            <w:r>
              <w:rPr>
                <w:rFonts w:hint="eastAsia"/>
                <w:color w:val="000000"/>
                <w:szCs w:val="18"/>
              </w:rPr>
              <w:t>日实施了管理评审；</w:t>
            </w:r>
          </w:p>
          <w:p>
            <w:pPr>
              <w:widowControl/>
              <w:spacing w:before="40"/>
              <w:jc w:val="left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查看</w:t>
            </w:r>
            <w:r>
              <w:rPr>
                <w:rFonts w:hint="eastAsia"/>
                <w:color w:val="000000"/>
                <w:szCs w:val="21"/>
              </w:rPr>
              <w:t xml:space="preserve">☑管理评审计划  ☑管理评审记录（工作总结）  </w:t>
            </w: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Cs w:val="21"/>
              </w:rPr>
              <w:t>管理评审纪要  ☑管理评审报告</w:t>
            </w:r>
          </w:p>
          <w:p>
            <w:pPr>
              <w:widowControl/>
              <w:spacing w:before="40"/>
              <w:jc w:val="left"/>
              <w:rPr>
                <w:color w:val="000000"/>
                <w:szCs w:val="21"/>
              </w:rPr>
            </w:pP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358"/>
              <w:gridCol w:w="1869"/>
              <w:gridCol w:w="281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8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管理评审输入信息</w:t>
                  </w:r>
                </w:p>
              </w:tc>
              <w:tc>
                <w:tcPr>
                  <w:tcW w:w="1869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评价</w:t>
                  </w:r>
                </w:p>
              </w:tc>
              <w:tc>
                <w:tcPr>
                  <w:tcW w:w="2816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问题描述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8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>以往管理评审所采取措施的情况；</w:t>
                  </w:r>
                </w:p>
              </w:tc>
              <w:tc>
                <w:tcPr>
                  <w:tcW w:w="1869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sym w:font="Wingdings 2" w:char="0052"/>
                  </w:r>
                  <w:r>
                    <w:rPr>
                      <w:rFonts w:hint="eastAsia"/>
                      <w:color w:val="000000"/>
                      <w:szCs w:val="21"/>
                    </w:rPr>
                    <w:t>符合 □不符合</w:t>
                  </w:r>
                </w:p>
              </w:tc>
              <w:tc>
                <w:tcPr>
                  <w:tcW w:w="2816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8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color w:val="000000"/>
                      <w:szCs w:val="21"/>
                    </w:rPr>
                    <w:t>组织所处形势的变化</w:t>
                  </w:r>
                  <w:r>
                    <w:rPr>
                      <w:rFonts w:hint="eastAsia"/>
                    </w:rPr>
                    <w:t>；</w:t>
                  </w:r>
                </w:p>
              </w:tc>
              <w:tc>
                <w:tcPr>
                  <w:tcW w:w="1869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☑符合 □不符合</w:t>
                  </w:r>
                </w:p>
              </w:tc>
              <w:tc>
                <w:tcPr>
                  <w:tcW w:w="2816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8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color w:val="000000"/>
                      <w:szCs w:val="21"/>
                    </w:rPr>
                    <w:sym w:font="Wingdings" w:char="00FE"/>
                  </w:r>
                  <w:r>
                    <w:rPr>
                      <w:color w:val="000000"/>
                      <w:szCs w:val="21"/>
                    </w:rPr>
                    <w:t>发生的紧急情况、事故或撤回；</w:t>
                  </w:r>
                </w:p>
              </w:tc>
              <w:tc>
                <w:tcPr>
                  <w:tcW w:w="1869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☑符合 □不符合</w:t>
                  </w:r>
                </w:p>
              </w:tc>
              <w:tc>
                <w:tcPr>
                  <w:tcW w:w="2816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8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</w:t>
                  </w:r>
                  <w:r>
                    <w:rPr>
                      <w:color w:val="000000"/>
                      <w:szCs w:val="21"/>
                    </w:rPr>
                    <w:t>与食品安全管理体系有关的内部和外部因素变化，包括顾客和顾客投诉；</w:t>
                  </w:r>
                </w:p>
              </w:tc>
              <w:tc>
                <w:tcPr>
                  <w:tcW w:w="1869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☑符合 □不符合</w:t>
                  </w:r>
                </w:p>
              </w:tc>
              <w:tc>
                <w:tcPr>
                  <w:tcW w:w="2816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8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</w:t>
                  </w:r>
                  <w:r>
                    <w:rPr>
                      <w:color w:val="000000"/>
                      <w:szCs w:val="21"/>
                    </w:rPr>
                    <w:t>食品安全绩效和食品安全管理体系不符合和纠正措施</w:t>
                  </w:r>
                </w:p>
              </w:tc>
              <w:tc>
                <w:tcPr>
                  <w:tcW w:w="1869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☑符合 □不符合</w:t>
                  </w:r>
                </w:p>
              </w:tc>
              <w:tc>
                <w:tcPr>
                  <w:tcW w:w="2816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8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</w:t>
                  </w:r>
                  <w:r>
                    <w:rPr>
                      <w:rFonts w:hint="eastAsia"/>
                    </w:rPr>
                    <w:t>监视和测量结果及趋势</w:t>
                  </w:r>
                </w:p>
              </w:tc>
              <w:tc>
                <w:tcPr>
                  <w:tcW w:w="1869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☑符合 □不符合</w:t>
                  </w:r>
                </w:p>
              </w:tc>
              <w:tc>
                <w:tcPr>
                  <w:tcW w:w="2816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8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</w:t>
                  </w:r>
                  <w:r>
                    <w:rPr>
                      <w:color w:val="000000"/>
                      <w:szCs w:val="21"/>
                    </w:rPr>
                    <w:t>审核结果（内部和外部） 包括执法检查结果</w:t>
                  </w:r>
                </w:p>
              </w:tc>
              <w:tc>
                <w:tcPr>
                  <w:tcW w:w="1869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☑符合 □不符合</w:t>
                  </w:r>
                </w:p>
              </w:tc>
              <w:tc>
                <w:tcPr>
                  <w:tcW w:w="2816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8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color w:val="000000"/>
                      <w:szCs w:val="21"/>
                    </w:rPr>
                    <w:sym w:font="Wingdings" w:char="00FE"/>
                  </w:r>
                  <w:r>
                    <w:rPr>
                      <w:color w:val="000000"/>
                      <w:szCs w:val="21"/>
                    </w:rPr>
                    <w:t>与PRP、 OPRP计划和HACCP计划有关的验证活动结果的分析</w:t>
                  </w:r>
                </w:p>
              </w:tc>
              <w:tc>
                <w:tcPr>
                  <w:tcW w:w="1869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☑符合 □不符合</w:t>
                  </w:r>
                </w:p>
              </w:tc>
              <w:tc>
                <w:tcPr>
                  <w:tcW w:w="2816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8" w:type="dxa"/>
                </w:tcPr>
                <w:p>
                  <w:pPr>
                    <w:widowControl/>
                    <w:spacing w:before="40"/>
                    <w:jc w:val="left"/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</w:t>
                  </w:r>
                  <w:r>
                    <w:rPr>
                      <w:color w:val="000000"/>
                      <w:szCs w:val="21"/>
                    </w:rPr>
                    <w:t>实现食品安全管理体系目标的程度</w:t>
                  </w:r>
                </w:p>
              </w:tc>
              <w:tc>
                <w:tcPr>
                  <w:tcW w:w="1869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☑符合 □不符合</w:t>
                  </w:r>
                </w:p>
              </w:tc>
              <w:tc>
                <w:tcPr>
                  <w:tcW w:w="2816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8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</w:t>
                  </w:r>
                  <w:r>
                    <w:rPr>
                      <w:color w:val="000000"/>
                      <w:szCs w:val="21"/>
                    </w:rPr>
                    <w:t>外部供方绩效</w:t>
                  </w:r>
                </w:p>
              </w:tc>
              <w:tc>
                <w:tcPr>
                  <w:tcW w:w="1869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☑符合 □不符合</w:t>
                  </w:r>
                </w:p>
              </w:tc>
              <w:tc>
                <w:tcPr>
                  <w:tcW w:w="2816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8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color w:val="000000"/>
                      <w:szCs w:val="21"/>
                    </w:rPr>
                    <w:sym w:font="Wingdings" w:char="00FE"/>
                  </w:r>
                  <w:r>
                    <w:rPr>
                      <w:color w:val="000000"/>
                      <w:szCs w:val="21"/>
                    </w:rPr>
                    <w:t>体系更新活动的评审结果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的评审</w:t>
                  </w:r>
                </w:p>
              </w:tc>
              <w:tc>
                <w:tcPr>
                  <w:tcW w:w="1869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☑符合 □不符合</w:t>
                  </w:r>
                </w:p>
              </w:tc>
              <w:tc>
                <w:tcPr>
                  <w:tcW w:w="2816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8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</w:t>
                  </w:r>
                  <w:r>
                    <w:rPr>
                      <w:color w:val="000000"/>
                      <w:szCs w:val="21"/>
                    </w:rPr>
                    <w:t>顾客反馈的沟通活动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的评审</w:t>
                  </w:r>
                </w:p>
              </w:tc>
              <w:tc>
                <w:tcPr>
                  <w:tcW w:w="1869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☑符合 □不符合</w:t>
                  </w:r>
                </w:p>
              </w:tc>
              <w:tc>
                <w:tcPr>
                  <w:tcW w:w="2816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8" w:type="dxa"/>
                </w:tcPr>
                <w:p>
                  <w:pPr>
                    <w:widowControl/>
                    <w:spacing w:before="40"/>
                    <w:jc w:val="left"/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</w:t>
                  </w:r>
                  <w:r>
                    <w:rPr>
                      <w:color w:val="000000"/>
                      <w:szCs w:val="21"/>
                    </w:rPr>
                    <w:t>紧急情况、 事故或撤回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的评审</w:t>
                  </w:r>
                </w:p>
              </w:tc>
              <w:tc>
                <w:tcPr>
                  <w:tcW w:w="1869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☑符合 □不符合</w:t>
                  </w:r>
                </w:p>
              </w:tc>
              <w:tc>
                <w:tcPr>
                  <w:tcW w:w="2816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8" w:type="dxa"/>
                </w:tcPr>
                <w:p>
                  <w:pPr>
                    <w:widowControl/>
                    <w:spacing w:before="40"/>
                    <w:jc w:val="left"/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</w:t>
                  </w:r>
                  <w:r>
                    <w:rPr>
                      <w:color w:val="000000"/>
                      <w:szCs w:val="21"/>
                    </w:rPr>
                    <w:t>持续改进的机会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的评审</w:t>
                  </w:r>
                </w:p>
              </w:tc>
              <w:tc>
                <w:tcPr>
                  <w:tcW w:w="1869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☑符合 □不符合</w:t>
                  </w:r>
                </w:p>
              </w:tc>
              <w:tc>
                <w:tcPr>
                  <w:tcW w:w="2816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8" w:type="dxa"/>
                </w:tcPr>
                <w:p>
                  <w:pPr>
                    <w:widowControl/>
                    <w:spacing w:before="40"/>
                    <w:jc w:val="left"/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</w:t>
                  </w:r>
                  <w:r>
                    <w:rPr>
                      <w:rFonts w:hint="eastAsia"/>
                    </w:rPr>
                    <w:t>资源的充分性</w:t>
                  </w:r>
                </w:p>
              </w:tc>
              <w:tc>
                <w:tcPr>
                  <w:tcW w:w="1869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☑符合 □不符合</w:t>
                  </w:r>
                </w:p>
              </w:tc>
              <w:tc>
                <w:tcPr>
                  <w:tcW w:w="2816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8" w:type="dxa"/>
                </w:tcPr>
                <w:p>
                  <w:pPr>
                    <w:widowControl/>
                    <w:spacing w:before="40"/>
                    <w:jc w:val="left"/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</w:t>
                  </w:r>
                  <w:r>
                    <w:rPr>
                      <w:color w:val="000000"/>
                      <w:szCs w:val="21"/>
                    </w:rPr>
                    <w:t>为应对风险和机遇所采取措施的有效性</w:t>
                  </w:r>
                </w:p>
              </w:tc>
              <w:tc>
                <w:tcPr>
                  <w:tcW w:w="1869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☑符合 □不符合</w:t>
                  </w:r>
                </w:p>
              </w:tc>
              <w:tc>
                <w:tcPr>
                  <w:tcW w:w="2816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</w:p>
              </w:tc>
            </w:tr>
          </w:tbl>
          <w:p>
            <w:pPr>
              <w:widowControl/>
              <w:spacing w:before="40"/>
              <w:jc w:val="left"/>
              <w:rPr>
                <w:color w:val="000000"/>
                <w:szCs w:val="21"/>
              </w:rPr>
            </w:pPr>
          </w:p>
          <w:p>
            <w:pPr>
              <w:widowControl/>
              <w:spacing w:before="40"/>
              <w:jc w:val="left"/>
              <w:rPr>
                <w:color w:val="000000"/>
                <w:szCs w:val="21"/>
                <w:highlight w:val="cyan"/>
                <w:u w:val="single"/>
              </w:rPr>
            </w:pPr>
            <w:r>
              <w:rPr>
                <w:rFonts w:hint="eastAsia"/>
                <w:color w:val="000000"/>
                <w:szCs w:val="21"/>
              </w:rPr>
              <w:t>对食品安全管理体系的持续适宜性，充分性，有效性的结论。</w:t>
            </w: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</w:rPr>
              <w:t>满足</w:t>
            </w:r>
            <w:r>
              <w:rPr>
                <w:rFonts w:hint="eastAsia"/>
                <w:color w:val="000000"/>
                <w:szCs w:val="21"/>
              </w:rPr>
              <w:t xml:space="preserve"> □</w:t>
            </w:r>
            <w:r>
              <w:rPr>
                <w:rFonts w:hint="eastAsia"/>
              </w:rPr>
              <w:t>不满足，说明</w:t>
            </w:r>
            <w:r>
              <w:rPr>
                <w:rFonts w:hint="eastAsia"/>
                <w:u w:val="single"/>
              </w:rPr>
              <w:t xml:space="preserve">           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852"/>
              <w:gridCol w:w="3695"/>
              <w:gridCol w:w="249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52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18"/>
                    </w:rPr>
                    <w:t>管理评审输出信息（决策）</w:t>
                  </w:r>
                </w:p>
              </w:tc>
              <w:tc>
                <w:tcPr>
                  <w:tcW w:w="3695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措施描述（举例）</w:t>
                  </w:r>
                </w:p>
              </w:tc>
              <w:tc>
                <w:tcPr>
                  <w:tcW w:w="2496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</w:rPr>
                    <w:t>改进措施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52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</w:rPr>
                    <w:t>与持续改进机会相关的决策</w:t>
                  </w:r>
                </w:p>
              </w:tc>
              <w:tc>
                <w:tcPr>
                  <w:tcW w:w="3695" w:type="dxa"/>
                </w:tcPr>
                <w:p>
                  <w:pPr>
                    <w:widowControl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加强ISO22000:2018标准要求的学习</w:t>
                  </w:r>
                </w:p>
              </w:tc>
              <w:tc>
                <w:tcPr>
                  <w:tcW w:w="2496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sym w:font="Wingdings 2" w:char="0052"/>
                  </w:r>
                  <w:r>
                    <w:rPr>
                      <w:rFonts w:hint="eastAsia"/>
                    </w:rPr>
                    <w:t>已落实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sym w:font="Wingdings 2" w:char="00A3"/>
                  </w:r>
                  <w:r>
                    <w:rPr>
                      <w:rFonts w:hint="eastAsia"/>
                    </w:rPr>
                    <w:t>已部分落实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52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</w:rPr>
                    <w:t>食品安全管理体系所需的变更</w:t>
                  </w:r>
                </w:p>
              </w:tc>
              <w:tc>
                <w:tcPr>
                  <w:tcW w:w="3695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——</w:t>
                  </w:r>
                </w:p>
              </w:tc>
              <w:tc>
                <w:tcPr>
                  <w:tcW w:w="2496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已落实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 xml:space="preserve"> □</w:t>
                  </w:r>
                  <w:r>
                    <w:rPr>
                      <w:rFonts w:hint="eastAsia"/>
                    </w:rPr>
                    <w:t>已部分落实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52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</w:rPr>
                    <w:t>资源需求</w:t>
                  </w:r>
                </w:p>
              </w:tc>
              <w:tc>
                <w:tcPr>
                  <w:tcW w:w="3695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——</w:t>
                  </w:r>
                </w:p>
              </w:tc>
              <w:tc>
                <w:tcPr>
                  <w:tcW w:w="2496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已落实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 xml:space="preserve"> □</w:t>
                  </w:r>
                  <w:r>
                    <w:rPr>
                      <w:rFonts w:hint="eastAsia"/>
                    </w:rPr>
                    <w:t>已部分落实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52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食品安全目标未实现所采取的措施。（需要时）</w:t>
                  </w:r>
                </w:p>
              </w:tc>
              <w:tc>
                <w:tcPr>
                  <w:tcW w:w="3695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——</w:t>
                  </w:r>
                </w:p>
              </w:tc>
              <w:tc>
                <w:tcPr>
                  <w:tcW w:w="2496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已落实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 xml:space="preserve"> □</w:t>
                  </w:r>
                  <w:r>
                    <w:rPr>
                      <w:rFonts w:hint="eastAsia"/>
                    </w:rPr>
                    <w:t>已部分落实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52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改进食品安全管理体系与其他业务过程融合的机会。（需要时）</w:t>
                  </w:r>
                </w:p>
              </w:tc>
              <w:tc>
                <w:tcPr>
                  <w:tcW w:w="3695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——</w:t>
                  </w:r>
                </w:p>
              </w:tc>
              <w:tc>
                <w:tcPr>
                  <w:tcW w:w="2496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已落实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 xml:space="preserve"> □</w:t>
                  </w:r>
                  <w:r>
                    <w:rPr>
                      <w:rFonts w:hint="eastAsia"/>
                    </w:rPr>
                    <w:t>已部分落实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52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任何与组织战略方向相关的结论</w:t>
                  </w:r>
                </w:p>
              </w:tc>
              <w:tc>
                <w:tcPr>
                  <w:tcW w:w="3695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——</w:t>
                  </w:r>
                </w:p>
              </w:tc>
              <w:tc>
                <w:tcPr>
                  <w:tcW w:w="2496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已落实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 xml:space="preserve"> □</w:t>
                  </w:r>
                  <w:r>
                    <w:rPr>
                      <w:rFonts w:hint="eastAsia"/>
                    </w:rPr>
                    <w:t>已部分落实</w:t>
                  </w:r>
                </w:p>
              </w:tc>
            </w:tr>
          </w:tbl>
          <w:p>
            <w:pPr>
              <w:rPr>
                <w:highlight w:val="cyan"/>
              </w:rPr>
            </w:pPr>
          </w:p>
          <w:p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改进措施未落实的原因：</w:t>
            </w:r>
            <w:r>
              <w:rPr>
                <w:rFonts w:hint="eastAsia"/>
                <w:u w:val="single"/>
              </w:rPr>
              <w:t xml:space="preserve">                 </w:t>
            </w:r>
          </w:p>
        </w:tc>
        <w:tc>
          <w:tcPr>
            <w:tcW w:w="1591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163" w:type="dxa"/>
            <w:gridSpan w:val="2"/>
            <w:vMerge w:val="restart"/>
          </w:tcPr>
          <w:p>
            <w:r>
              <w:rPr>
                <w:rFonts w:hint="eastAsia"/>
              </w:rPr>
              <w:t>持续改进</w:t>
            </w:r>
          </w:p>
        </w:tc>
        <w:tc>
          <w:tcPr>
            <w:tcW w:w="960" w:type="dxa"/>
            <w:vMerge w:val="restart"/>
          </w:tcPr>
          <w:p>
            <w:r>
              <w:rPr>
                <w:rFonts w:hint="eastAsia"/>
              </w:rPr>
              <w:t>F10.2</w:t>
            </w:r>
          </w:p>
        </w:tc>
        <w:tc>
          <w:tcPr>
            <w:tcW w:w="745" w:type="dxa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5" w:type="dxa"/>
          </w:tcPr>
          <w:p>
            <w:r>
              <w:rPr>
                <w:rFonts w:hint="eastAsia"/>
              </w:rPr>
              <w:t>如：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管理手册10.2条款</w:t>
            </w:r>
          </w:p>
        </w:tc>
        <w:tc>
          <w:tcPr>
            <w:tcW w:w="1591" w:type="dxa"/>
            <w:vMerge w:val="restart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2163" w:type="dxa"/>
            <w:gridSpan w:val="2"/>
            <w:vMerge w:val="continue"/>
          </w:tcPr>
          <w:p/>
        </w:tc>
        <w:tc>
          <w:tcPr>
            <w:tcW w:w="960" w:type="dxa"/>
            <w:vMerge w:val="continue"/>
          </w:tcPr>
          <w:p/>
        </w:tc>
        <w:tc>
          <w:tcPr>
            <w:tcW w:w="745" w:type="dxa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5" w:type="dxa"/>
          </w:tcPr>
          <w:p>
            <w:r>
              <w:rPr>
                <w:rFonts w:hint="eastAsia"/>
              </w:rPr>
              <w:t xml:space="preserve">组织已持续改进食品安全管理体系的适宜性、充分性和有效性，以提升食品安全绩效。 </w:t>
            </w:r>
          </w:p>
          <w:p>
            <w:r>
              <w:rPr>
                <w:rFonts w:hint="eastAsia"/>
              </w:rPr>
              <w:t>组织考虑了分析和评价的结果以及管理评审的输出，确定是否存在需求或机遇，这些需求或机遇应作为持续改进的一部分加以应对。</w:t>
            </w:r>
          </w:p>
          <w:p>
            <w:pPr>
              <w:pStyle w:val="7"/>
            </w:pPr>
          </w:p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 改进措施已落实</w:t>
            </w:r>
          </w:p>
          <w:p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 改进措施未落实的原因：</w:t>
            </w:r>
            <w:r>
              <w:rPr>
                <w:rFonts w:hint="eastAsia"/>
                <w:u w:val="single"/>
              </w:rPr>
              <w:t xml:space="preserve">                    </w:t>
            </w:r>
          </w:p>
          <w:p>
            <w:r>
              <w:rPr>
                <w:rFonts w:hint="eastAsia"/>
              </w:rPr>
              <w:t>最高管理者应确保组织通过以下活动， 持续改进食品安全管理体系的有效性：</w:t>
            </w:r>
          </w:p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沟通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管理评审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内部审核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验证活动结果分析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控制措施验证和控制措施组合</w:t>
            </w:r>
          </w:p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纠正措施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FSMS更新 。</w:t>
            </w:r>
          </w:p>
        </w:tc>
        <w:tc>
          <w:tcPr>
            <w:tcW w:w="1591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163" w:type="dxa"/>
            <w:gridSpan w:val="2"/>
            <w:vMerge w:val="restart"/>
          </w:tcPr>
          <w:p>
            <w:r>
              <w:rPr>
                <w:rFonts w:hint="eastAsia"/>
              </w:rPr>
              <w:t>食品安全管理体系的更新</w:t>
            </w:r>
          </w:p>
          <w:p/>
        </w:tc>
        <w:tc>
          <w:tcPr>
            <w:tcW w:w="960" w:type="dxa"/>
            <w:vMerge w:val="restart"/>
          </w:tcPr>
          <w:p>
            <w:r>
              <w:rPr>
                <w:rFonts w:hint="eastAsia"/>
              </w:rPr>
              <w:t>F10.3</w:t>
            </w:r>
          </w:p>
        </w:tc>
        <w:tc>
          <w:tcPr>
            <w:tcW w:w="745" w:type="dxa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5" w:type="dxa"/>
          </w:tcPr>
          <w:p>
            <w:r>
              <w:rPr>
                <w:rFonts w:hint="eastAsia"/>
              </w:rPr>
              <w:t>如：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管理手册10.2条款</w:t>
            </w:r>
          </w:p>
        </w:tc>
        <w:tc>
          <w:tcPr>
            <w:tcW w:w="1591" w:type="dxa"/>
            <w:vMerge w:val="restart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163" w:type="dxa"/>
            <w:gridSpan w:val="2"/>
            <w:vMerge w:val="continue"/>
          </w:tcPr>
          <w:p/>
        </w:tc>
        <w:tc>
          <w:tcPr>
            <w:tcW w:w="960" w:type="dxa"/>
            <w:vMerge w:val="continue"/>
          </w:tcPr>
          <w:p/>
        </w:tc>
        <w:tc>
          <w:tcPr>
            <w:tcW w:w="745" w:type="dxa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5" w:type="dxa"/>
          </w:tcPr>
          <w:p>
            <w:pPr>
              <w:rPr>
                <w:u w:val="single"/>
              </w:rPr>
            </w:pPr>
            <w:r>
              <w:t>最高管理者确保FSMS持续更新。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是、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否，说明；</w:t>
            </w:r>
            <w:r>
              <w:rPr>
                <w:rFonts w:hint="eastAsia"/>
                <w:u w:val="single"/>
              </w:rPr>
              <w:t xml:space="preserve">                       </w:t>
            </w:r>
          </w:p>
          <w:p>
            <w:r>
              <w:t>食品安全小组应按计划间隔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每年、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每月、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不定期）</w:t>
            </w:r>
            <w:r>
              <w:t>对食品安全管理体系进行评估。小组应考虑</w:t>
            </w:r>
            <w:r>
              <w:rPr>
                <w:rFonts w:hint="eastAsia"/>
              </w:rPr>
              <w:t>：</w:t>
            </w:r>
          </w:p>
          <w:p>
            <w:r>
              <w:rPr>
                <w:rFonts w:hint="eastAsia"/>
              </w:rPr>
              <w:sym w:font="Wingdings" w:char="00FE"/>
            </w:r>
            <w:r>
              <w:t>有必要审查危害分析</w:t>
            </w:r>
          </w:p>
          <w:p>
            <w:r>
              <w:rPr>
                <w:rFonts w:hint="eastAsia"/>
              </w:rPr>
              <w:sym w:font="Wingdings" w:char="00FE"/>
            </w:r>
            <w:r>
              <w:t>已建立的危害控制计划</w:t>
            </w:r>
          </w:p>
          <w:p>
            <w:r>
              <w:rPr>
                <w:rFonts w:hint="eastAsia"/>
              </w:rPr>
              <w:sym w:font="Wingdings" w:char="00FE"/>
            </w:r>
            <w:r>
              <w:t>已建立的PRP。</w:t>
            </w:r>
          </w:p>
          <w:p>
            <w:r>
              <w:t>更新活动应基于：</w:t>
            </w:r>
          </w:p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 </w:t>
            </w:r>
            <w:r>
              <w:t>来自外部和内部通信的输入；</w:t>
            </w:r>
          </w:p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 </w:t>
            </w:r>
            <w:r>
              <w:t>其他有关食品安全管理系统的适宜性、充分性和有效性的信息的输入；</w:t>
            </w:r>
          </w:p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 </w:t>
            </w:r>
            <w:r>
              <w:t>验证活动结果分析的输出；</w:t>
            </w:r>
          </w:p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 </w:t>
            </w:r>
            <w:r>
              <w:t>管理评审的输出。</w:t>
            </w:r>
          </w:p>
          <w:p>
            <w:r>
              <w:t>系统更新活动</w:t>
            </w:r>
            <w:r>
              <w:rPr>
                <w:rFonts w:hint="eastAsia"/>
              </w:rPr>
              <w:t>保留的</w:t>
            </w:r>
            <w:r>
              <w:t>文件化信息</w:t>
            </w:r>
            <w:r>
              <w:rPr>
                <w:rFonts w:hint="eastAsia"/>
              </w:rPr>
              <w:t>为</w:t>
            </w:r>
            <w:r>
              <w:rPr>
                <w:rFonts w:hint="eastAsia"/>
                <w:u w:val="single"/>
              </w:rPr>
              <w:t>：  《</w:t>
            </w:r>
            <w:r>
              <w:rPr>
                <w:u w:val="single"/>
              </w:rPr>
              <w:t>B</w:t>
            </w:r>
            <w:r>
              <w:rPr>
                <w:rFonts w:hint="eastAsia"/>
                <w:u w:val="single"/>
              </w:rPr>
              <w:t xml:space="preserve">版 食品安全手册》       </w:t>
            </w:r>
            <w:r>
              <w:rPr>
                <w:rFonts w:hint="eastAsia"/>
              </w:rPr>
              <w:t xml:space="preserve"> </w:t>
            </w:r>
            <w:r>
              <w:t>，作为输入报告给管理评审。</w:t>
            </w:r>
          </w:p>
          <w:p/>
        </w:tc>
        <w:tc>
          <w:tcPr>
            <w:tcW w:w="1591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163" w:type="dxa"/>
            <w:gridSpan w:val="2"/>
          </w:tcPr>
          <w:p>
            <w:pPr>
              <w:adjustRightInd w:val="0"/>
              <w:snapToGrid w:val="0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范围的确认，资质的确认，法律法规执行情况，重大质量事故，及顾客投诉和质量监督抽查情况。</w:t>
            </w:r>
          </w:p>
        </w:tc>
        <w:tc>
          <w:tcPr>
            <w:tcW w:w="960" w:type="dxa"/>
          </w:tcPr>
          <w:p>
            <w:pPr>
              <w:rPr>
                <w:b/>
              </w:rPr>
            </w:pPr>
          </w:p>
        </w:tc>
        <w:tc>
          <w:tcPr>
            <w:tcW w:w="745" w:type="dxa"/>
          </w:tcPr>
          <w:p>
            <w:pPr>
              <w:spacing w:line="360" w:lineRule="auto"/>
              <w:ind w:firstLine="315" w:firstLineChars="150"/>
              <w:jc w:val="left"/>
              <w:rPr>
                <w:rFonts w:ascii="宋体" w:hAnsi="宋体" w:cs="宋体"/>
                <w:color w:val="000000"/>
                <w:szCs w:val="24"/>
              </w:rPr>
            </w:pPr>
          </w:p>
        </w:tc>
        <w:tc>
          <w:tcPr>
            <w:tcW w:w="9255" w:type="dxa"/>
          </w:tcPr>
          <w:p>
            <w:pPr>
              <w:spacing w:line="360" w:lineRule="auto"/>
              <w:ind w:firstLine="315" w:firstLineChars="15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远程确认：发生变更如下：</w:t>
            </w:r>
          </w:p>
          <w:p>
            <w:pPr>
              <w:numPr>
                <w:ilvl w:val="0"/>
                <w:numId w:val="5"/>
              </w:num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认证范围变更</w:t>
            </w:r>
            <w:r>
              <w:rPr>
                <w:rFonts w:hint="eastAsia"/>
                <w:szCs w:val="21"/>
              </w:rPr>
              <w:t>：</w:t>
            </w:r>
          </w:p>
          <w:p>
            <w:pPr>
              <w:pStyle w:val="7"/>
              <w:spacing w:line="360" w:lineRule="auto"/>
              <w:ind w:left="0"/>
            </w:pPr>
            <w:r>
              <w:rPr>
                <w:rFonts w:hint="eastAsia"/>
              </w:rPr>
              <w:t>无变更。</w:t>
            </w:r>
          </w:p>
          <w:p>
            <w:pPr>
              <w:spacing w:line="360" w:lineRule="auto"/>
              <w:ind w:firstLine="315" w:firstLineChars="15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远程确认营业执照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szCs w:val="21"/>
              </w:rPr>
              <w:t>食品许可证换新证，见收集材料清单。</w:t>
            </w:r>
          </w:p>
          <w:p>
            <w:pPr>
              <w:spacing w:line="360" w:lineRule="auto"/>
              <w:ind w:firstLine="315" w:firstLineChars="15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从202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Cs w:val="21"/>
              </w:rPr>
              <w:t>年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月至今，公司没有顾客的重大产品质量和食品安全投诉。</w:t>
            </w:r>
          </w:p>
          <w:p>
            <w:pPr>
              <w:spacing w:line="360" w:lineRule="auto"/>
              <w:ind w:firstLine="315" w:firstLineChars="15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远程查见认证证书、标志的使用</w:t>
            </w:r>
            <w:bookmarkStart w:id="1" w:name="_GoBack"/>
            <w:bookmarkEnd w:id="1"/>
            <w:r>
              <w:rPr>
                <w:rFonts w:hint="eastAsia" w:ascii="宋体" w:hAnsi="宋体" w:cs="宋体"/>
                <w:szCs w:val="21"/>
              </w:rPr>
              <w:t>无违规使用情况；</w:t>
            </w:r>
          </w:p>
          <w:p>
            <w:pPr>
              <w:spacing w:line="360" w:lineRule="auto"/>
              <w:ind w:firstLine="315" w:firstLineChars="15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体系变动情况：体系文件更新，见收集材料E文件。</w:t>
            </w:r>
          </w:p>
          <w:p>
            <w:pPr>
              <w:ind w:firstLine="420" w:firstLineChars="200"/>
            </w:pPr>
            <w:r>
              <w:rPr>
                <w:rFonts w:hint="eastAsia" w:ascii="宋体" w:hAnsi="宋体" w:cs="宋体"/>
                <w:szCs w:val="21"/>
                <w:highlight w:val="yellow"/>
              </w:rPr>
              <w:t>上次审核不符合项2项，发生在品管部 、生产部，涉及条款ISO22000:20</w:t>
            </w:r>
            <w:r>
              <w:rPr>
                <w:rFonts w:ascii="宋体" w:hAnsi="宋体" w:cs="宋体"/>
                <w:szCs w:val="21"/>
                <w:highlight w:val="yellow"/>
              </w:rPr>
              <w:t>18</w:t>
            </w:r>
            <w:r>
              <w:rPr>
                <w:rFonts w:hint="eastAsia" w:ascii="宋体" w:hAnsi="宋体" w:cs="宋体"/>
                <w:szCs w:val="21"/>
                <w:highlight w:val="yellow"/>
              </w:rPr>
              <w:t xml:space="preserve"> </w:t>
            </w:r>
            <w:r>
              <w:rPr>
                <w:rFonts w:ascii="宋体" w:hAnsi="宋体" w:cs="宋体"/>
                <w:szCs w:val="21"/>
                <w:highlight w:val="yellow"/>
              </w:rPr>
              <w:t>8.5.4.5</w:t>
            </w:r>
            <w:r>
              <w:rPr>
                <w:rFonts w:hint="eastAsia" w:ascii="宋体" w:hAnsi="宋体" w:cs="宋体"/>
                <w:szCs w:val="21"/>
                <w:highlight w:val="yellow"/>
              </w:rPr>
              <w:t>及8</w:t>
            </w:r>
            <w:r>
              <w:rPr>
                <w:rFonts w:ascii="宋体" w:hAnsi="宋体" w:cs="宋体"/>
                <w:szCs w:val="21"/>
                <w:highlight w:val="yellow"/>
              </w:rPr>
              <w:t>.7</w:t>
            </w:r>
            <w:r>
              <w:rPr>
                <w:rFonts w:hint="eastAsia" w:ascii="宋体" w:hAnsi="宋体" w:cs="宋体"/>
                <w:szCs w:val="21"/>
                <w:highlight w:val="yellow"/>
              </w:rPr>
              <w:t>,经本次审核验证，未出现类似的不符合情况。</w:t>
            </w:r>
          </w:p>
        </w:tc>
        <w:tc>
          <w:tcPr>
            <w:tcW w:w="1591" w:type="dxa"/>
          </w:tcPr>
          <w:p>
            <w:r>
              <w:rPr>
                <w:rFonts w:hint="eastAsia"/>
              </w:rPr>
              <w:t>/</w:t>
            </w:r>
          </w:p>
        </w:tc>
      </w:tr>
    </w:tbl>
    <w:p/>
    <w:p>
      <w:pPr>
        <w:pStyle w:val="5"/>
      </w:pPr>
      <w:r>
        <w:rPr>
          <w:rFonts w:hint="eastAsia"/>
        </w:rPr>
        <w:t>说明：不符合标注N</w:t>
      </w:r>
    </w:p>
    <w:sectPr>
      <w:headerReference r:id="rId3" w:type="default"/>
      <w:footerReference r:id="rId4" w:type="default"/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CIDFont+F5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24900"/>
    </w:sdtPr>
    <w:sdtContent>
      <w:sdt>
        <w:sdtPr>
          <w:id w:val="171357217"/>
        </w:sdtPr>
        <w:sdtContent>
          <w:p>
            <w:pPr>
              <w:pStyle w:val="5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86" w:leftChars="-41" w:firstLine="990" w:firstLineChars="550"/>
      <w:jc w:val="left"/>
      <w:rPr>
        <w:rStyle w:val="14"/>
        <w:rFonts w:hint="default"/>
      </w:rPr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6985</wp:posOffset>
          </wp:positionV>
          <wp:extent cx="481330" cy="484505"/>
          <wp:effectExtent l="0" t="0" r="0" b="0"/>
          <wp:wrapNone/>
          <wp:docPr id="3" name="图片 0" descr="新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0" descr="新LOGO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1330" cy="4845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Style w:val="14"/>
        <w:rFonts w:hint="default"/>
      </w:rPr>
      <w:t>北京国标联合认证有限公司</w:t>
    </w:r>
    <w:r>
      <w:rPr>
        <w:rStyle w:val="14"/>
        <w:rFonts w:hint="default"/>
      </w:rPr>
      <w:tab/>
    </w:r>
    <w:r>
      <w:rPr>
        <w:rStyle w:val="14"/>
        <w:rFonts w:hint="default"/>
      </w:rPr>
      <w:tab/>
    </w:r>
    <w:r>
      <w:rPr>
        <w:rStyle w:val="14"/>
        <w:rFonts w:hint="default"/>
      </w:rPr>
      <w:tab/>
    </w:r>
  </w:p>
  <w:p>
    <w:pPr>
      <w:pStyle w:val="6"/>
      <w:pBdr>
        <w:bottom w:val="none" w:color="auto" w:sz="0" w:space="1"/>
      </w:pBdr>
      <w:spacing w:line="320" w:lineRule="exact"/>
      <w:ind w:firstLine="900" w:firstLineChars="500"/>
      <w:jc w:val="lef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7045325</wp:posOffset>
              </wp:positionH>
              <wp:positionV relativeFrom="paragraph">
                <wp:posOffset>27940</wp:posOffset>
              </wp:positionV>
              <wp:extent cx="2184400" cy="256540"/>
              <wp:effectExtent l="0" t="0" r="0" b="1016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88235" cy="2565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ISC-</w:t>
                          </w:r>
                          <w:r>
                            <w:rPr>
                              <w:sz w:val="18"/>
                              <w:szCs w:val="18"/>
                            </w:rPr>
                            <w:t>B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-</w:t>
                          </w:r>
                          <w:r>
                            <w:rPr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-3</w:t>
                          </w:r>
                          <w:r>
                            <w:rPr>
                              <w:sz w:val="18"/>
                              <w:szCs w:val="18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管理体系审核记录表(03版)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54.75pt;margin-top:2.2pt;height:20.2pt;width:172pt;z-index:251659264;mso-width-relative:page;mso-height-relative:page;" fillcolor="#FFFFFF" filled="t" stroked="f" coordsize="21600,21600" o:gfxdata="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CEGquXWAAAACgEAAA8AAAAAAAAAAQAgAAAAIgAA&#10;AGRycy9kb3ducmV2LnhtbFBLAQIUABQAAAAIAIdO4kCPdkp10QEAAI4DAAAOAAAAAAAAAAEAIAAA&#10;ACUBAABkcnMvZTJvRG9jLnhtbFBLBQYAAAAABgAGAFkBAABoBQAAAAA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  <w:sz w:val="18"/>
                        <w:szCs w:val="18"/>
                      </w:rPr>
                      <w:t>ISC-</w:t>
                    </w:r>
                    <w:r>
                      <w:rPr>
                        <w:sz w:val="18"/>
                        <w:szCs w:val="18"/>
                      </w:rPr>
                      <w:t>B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-</w:t>
                    </w:r>
                    <w:r>
                      <w:rPr>
                        <w:sz w:val="18"/>
                        <w:szCs w:val="18"/>
                      </w:rPr>
                      <w:t>I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-3</w:t>
                    </w:r>
                    <w:r>
                      <w:rPr>
                        <w:sz w:val="18"/>
                        <w:szCs w:val="18"/>
                      </w:rPr>
                      <w:t>0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管理体系审核记录表(03版)</w:t>
                    </w:r>
                  </w:p>
                </w:txbxContent>
              </v:textbox>
            </v:shape>
          </w:pict>
        </mc:Fallback>
      </mc:AlternateContent>
    </w:r>
    <w:r>
      <w:rPr>
        <w:rStyle w:val="14"/>
        <w:rFonts w:hint="default"/>
        <w:w w:val="90"/>
      </w:rPr>
      <w:t>Beijing International Standard united Certification Co.,Ltd.</w:t>
    </w:r>
  </w:p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83C7BF"/>
    <w:multiLevelType w:val="singleLevel"/>
    <w:tmpl w:val="8983C7B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8DEE853B"/>
    <w:multiLevelType w:val="singleLevel"/>
    <w:tmpl w:val="8DEE853B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D9157FF7"/>
    <w:multiLevelType w:val="singleLevel"/>
    <w:tmpl w:val="D9157FF7"/>
    <w:lvl w:ilvl="0" w:tentative="0">
      <w:start w:val="1"/>
      <w:numFmt w:val="lowerLetter"/>
      <w:suff w:val="space"/>
      <w:lvlText w:val="%1)"/>
      <w:lvlJc w:val="left"/>
    </w:lvl>
  </w:abstractNum>
  <w:abstractNum w:abstractNumId="3">
    <w:nsid w:val="19E194F9"/>
    <w:multiLevelType w:val="singleLevel"/>
    <w:tmpl w:val="19E194F9"/>
    <w:lvl w:ilvl="0" w:tentative="0">
      <w:start w:val="1"/>
      <w:numFmt w:val="lowerLetter"/>
      <w:lvlText w:val="%1)"/>
      <w:lvlJc w:val="left"/>
      <w:pPr>
        <w:tabs>
          <w:tab w:val="left" w:pos="312"/>
        </w:tabs>
      </w:pPr>
    </w:lvl>
  </w:abstractNum>
  <w:abstractNum w:abstractNumId="4">
    <w:nsid w:val="642B7DFC"/>
    <w:multiLevelType w:val="singleLevel"/>
    <w:tmpl w:val="642B7DFC"/>
    <w:lvl w:ilvl="0" w:tentative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4MGQzYmZlYjc0MTg3YzE3NjNlNzg5YWY5YjI1NjgifQ=="/>
  </w:docVars>
  <w:rsids>
    <w:rsidRoot w:val="009973B4"/>
    <w:rsid w:val="0001377F"/>
    <w:rsid w:val="000237F6"/>
    <w:rsid w:val="0003373A"/>
    <w:rsid w:val="000400E2"/>
    <w:rsid w:val="00053043"/>
    <w:rsid w:val="00062E46"/>
    <w:rsid w:val="00077C57"/>
    <w:rsid w:val="000E5DC0"/>
    <w:rsid w:val="000E6B21"/>
    <w:rsid w:val="000E7D69"/>
    <w:rsid w:val="00100AC1"/>
    <w:rsid w:val="001037D1"/>
    <w:rsid w:val="00111EBB"/>
    <w:rsid w:val="001140D6"/>
    <w:rsid w:val="00126B2A"/>
    <w:rsid w:val="001301E2"/>
    <w:rsid w:val="0016382C"/>
    <w:rsid w:val="001A2D7F"/>
    <w:rsid w:val="001A336D"/>
    <w:rsid w:val="001F1502"/>
    <w:rsid w:val="00203518"/>
    <w:rsid w:val="0023692C"/>
    <w:rsid w:val="00245C55"/>
    <w:rsid w:val="002805E0"/>
    <w:rsid w:val="002822F1"/>
    <w:rsid w:val="002939AD"/>
    <w:rsid w:val="002A7D96"/>
    <w:rsid w:val="002E061E"/>
    <w:rsid w:val="002E5925"/>
    <w:rsid w:val="00304BD2"/>
    <w:rsid w:val="00314AF6"/>
    <w:rsid w:val="003263CD"/>
    <w:rsid w:val="00332DD3"/>
    <w:rsid w:val="00334BC0"/>
    <w:rsid w:val="003359ED"/>
    <w:rsid w:val="00337922"/>
    <w:rsid w:val="00340867"/>
    <w:rsid w:val="00380837"/>
    <w:rsid w:val="003A198A"/>
    <w:rsid w:val="00410914"/>
    <w:rsid w:val="0042042C"/>
    <w:rsid w:val="00454842"/>
    <w:rsid w:val="00477A20"/>
    <w:rsid w:val="004812F6"/>
    <w:rsid w:val="0048201E"/>
    <w:rsid w:val="0048635A"/>
    <w:rsid w:val="0049215F"/>
    <w:rsid w:val="004B2B8D"/>
    <w:rsid w:val="004D161C"/>
    <w:rsid w:val="004E753A"/>
    <w:rsid w:val="005203B8"/>
    <w:rsid w:val="00531A59"/>
    <w:rsid w:val="00536930"/>
    <w:rsid w:val="00542263"/>
    <w:rsid w:val="00564E53"/>
    <w:rsid w:val="00571451"/>
    <w:rsid w:val="00593F84"/>
    <w:rsid w:val="005B7968"/>
    <w:rsid w:val="005C6B53"/>
    <w:rsid w:val="005D5659"/>
    <w:rsid w:val="005E2DC1"/>
    <w:rsid w:val="005F0777"/>
    <w:rsid w:val="005F5300"/>
    <w:rsid w:val="00600C20"/>
    <w:rsid w:val="00644FE2"/>
    <w:rsid w:val="00651ED1"/>
    <w:rsid w:val="00660E47"/>
    <w:rsid w:val="00663F71"/>
    <w:rsid w:val="0067640C"/>
    <w:rsid w:val="00691D92"/>
    <w:rsid w:val="006D7C48"/>
    <w:rsid w:val="006E678B"/>
    <w:rsid w:val="006E7B1D"/>
    <w:rsid w:val="0070341D"/>
    <w:rsid w:val="00705D46"/>
    <w:rsid w:val="00714E0C"/>
    <w:rsid w:val="007757F3"/>
    <w:rsid w:val="00782A29"/>
    <w:rsid w:val="007860F5"/>
    <w:rsid w:val="007C1B48"/>
    <w:rsid w:val="007E3B15"/>
    <w:rsid w:val="007E6AEB"/>
    <w:rsid w:val="008630EE"/>
    <w:rsid w:val="008973EE"/>
    <w:rsid w:val="008C05BC"/>
    <w:rsid w:val="008C60FD"/>
    <w:rsid w:val="008E670C"/>
    <w:rsid w:val="0090032F"/>
    <w:rsid w:val="00910EB7"/>
    <w:rsid w:val="00920704"/>
    <w:rsid w:val="00920906"/>
    <w:rsid w:val="00923731"/>
    <w:rsid w:val="009315A7"/>
    <w:rsid w:val="009344FA"/>
    <w:rsid w:val="009637A6"/>
    <w:rsid w:val="00967CE7"/>
    <w:rsid w:val="00971600"/>
    <w:rsid w:val="009734AB"/>
    <w:rsid w:val="0097671F"/>
    <w:rsid w:val="009973B4"/>
    <w:rsid w:val="009C28C1"/>
    <w:rsid w:val="009D0D15"/>
    <w:rsid w:val="009E7642"/>
    <w:rsid w:val="009F7EED"/>
    <w:rsid w:val="00A01D85"/>
    <w:rsid w:val="00A109EE"/>
    <w:rsid w:val="00A23E2B"/>
    <w:rsid w:val="00A353D5"/>
    <w:rsid w:val="00A74916"/>
    <w:rsid w:val="00A80636"/>
    <w:rsid w:val="00A80E58"/>
    <w:rsid w:val="00AA41A9"/>
    <w:rsid w:val="00AA4BB0"/>
    <w:rsid w:val="00AB1C1D"/>
    <w:rsid w:val="00AC2E27"/>
    <w:rsid w:val="00AC589C"/>
    <w:rsid w:val="00AC6B2D"/>
    <w:rsid w:val="00AF0AAB"/>
    <w:rsid w:val="00B50FD7"/>
    <w:rsid w:val="00B646E3"/>
    <w:rsid w:val="00B64A32"/>
    <w:rsid w:val="00B801A2"/>
    <w:rsid w:val="00B82D4A"/>
    <w:rsid w:val="00B93797"/>
    <w:rsid w:val="00BA5DC8"/>
    <w:rsid w:val="00BB07DF"/>
    <w:rsid w:val="00BB34A7"/>
    <w:rsid w:val="00BC4D5A"/>
    <w:rsid w:val="00BE5F33"/>
    <w:rsid w:val="00BF597E"/>
    <w:rsid w:val="00C03A49"/>
    <w:rsid w:val="00C327C0"/>
    <w:rsid w:val="00C37C31"/>
    <w:rsid w:val="00C51A36"/>
    <w:rsid w:val="00C55228"/>
    <w:rsid w:val="00C5533A"/>
    <w:rsid w:val="00C63768"/>
    <w:rsid w:val="00C65F2B"/>
    <w:rsid w:val="00C96ED9"/>
    <w:rsid w:val="00CD71D8"/>
    <w:rsid w:val="00CE2E76"/>
    <w:rsid w:val="00CE315A"/>
    <w:rsid w:val="00CF1517"/>
    <w:rsid w:val="00D06F59"/>
    <w:rsid w:val="00D708B1"/>
    <w:rsid w:val="00D71355"/>
    <w:rsid w:val="00D75176"/>
    <w:rsid w:val="00D8388C"/>
    <w:rsid w:val="00DC055B"/>
    <w:rsid w:val="00DD3530"/>
    <w:rsid w:val="00DE720A"/>
    <w:rsid w:val="00E05687"/>
    <w:rsid w:val="00E120F4"/>
    <w:rsid w:val="00E25E5F"/>
    <w:rsid w:val="00E562C9"/>
    <w:rsid w:val="00E6224C"/>
    <w:rsid w:val="00E65C8F"/>
    <w:rsid w:val="00E876A3"/>
    <w:rsid w:val="00EB0164"/>
    <w:rsid w:val="00EB2D1A"/>
    <w:rsid w:val="00EC57BB"/>
    <w:rsid w:val="00EC66B3"/>
    <w:rsid w:val="00ED0F62"/>
    <w:rsid w:val="00F2198C"/>
    <w:rsid w:val="00F43A54"/>
    <w:rsid w:val="00F441AF"/>
    <w:rsid w:val="00F56D22"/>
    <w:rsid w:val="00F7499A"/>
    <w:rsid w:val="00F95ED9"/>
    <w:rsid w:val="00FD0A8E"/>
    <w:rsid w:val="00FF6820"/>
    <w:rsid w:val="01260C71"/>
    <w:rsid w:val="01E27364"/>
    <w:rsid w:val="02C75A20"/>
    <w:rsid w:val="032F5195"/>
    <w:rsid w:val="034F668F"/>
    <w:rsid w:val="03A0688A"/>
    <w:rsid w:val="03A32F8E"/>
    <w:rsid w:val="03AC3D8E"/>
    <w:rsid w:val="03CE483E"/>
    <w:rsid w:val="03CF54E8"/>
    <w:rsid w:val="0405614C"/>
    <w:rsid w:val="04883DB3"/>
    <w:rsid w:val="049166B1"/>
    <w:rsid w:val="04981EC9"/>
    <w:rsid w:val="050D3D1E"/>
    <w:rsid w:val="056577F0"/>
    <w:rsid w:val="05705C5F"/>
    <w:rsid w:val="057753FF"/>
    <w:rsid w:val="05A05014"/>
    <w:rsid w:val="05F6270F"/>
    <w:rsid w:val="05FE5D86"/>
    <w:rsid w:val="0605101B"/>
    <w:rsid w:val="061B4460"/>
    <w:rsid w:val="065A01DF"/>
    <w:rsid w:val="067B702D"/>
    <w:rsid w:val="06994A8D"/>
    <w:rsid w:val="06AA7E97"/>
    <w:rsid w:val="06ED612A"/>
    <w:rsid w:val="08274F37"/>
    <w:rsid w:val="08767210"/>
    <w:rsid w:val="08851DD7"/>
    <w:rsid w:val="08C22483"/>
    <w:rsid w:val="08ED1EE8"/>
    <w:rsid w:val="09005957"/>
    <w:rsid w:val="096333C5"/>
    <w:rsid w:val="09933EF9"/>
    <w:rsid w:val="09AA0CA5"/>
    <w:rsid w:val="09FA6045"/>
    <w:rsid w:val="0A0F142E"/>
    <w:rsid w:val="0A1C56C1"/>
    <w:rsid w:val="0A904067"/>
    <w:rsid w:val="0ACA6ED2"/>
    <w:rsid w:val="0AEF4D8D"/>
    <w:rsid w:val="0BE64DFF"/>
    <w:rsid w:val="0C5423F7"/>
    <w:rsid w:val="0C8009B8"/>
    <w:rsid w:val="0CA90E2C"/>
    <w:rsid w:val="0CC102DA"/>
    <w:rsid w:val="0CFF24BA"/>
    <w:rsid w:val="0D181113"/>
    <w:rsid w:val="0D1E4D9B"/>
    <w:rsid w:val="0D4D1326"/>
    <w:rsid w:val="0D6A2C36"/>
    <w:rsid w:val="0DB35CC0"/>
    <w:rsid w:val="0E49595F"/>
    <w:rsid w:val="0EB8524B"/>
    <w:rsid w:val="0F86648B"/>
    <w:rsid w:val="0F9C35C1"/>
    <w:rsid w:val="0FEB1156"/>
    <w:rsid w:val="0FFA42BF"/>
    <w:rsid w:val="100B6D7F"/>
    <w:rsid w:val="100D075A"/>
    <w:rsid w:val="106A3497"/>
    <w:rsid w:val="108219C2"/>
    <w:rsid w:val="10991918"/>
    <w:rsid w:val="10A120FB"/>
    <w:rsid w:val="10AB5B5F"/>
    <w:rsid w:val="10C112A0"/>
    <w:rsid w:val="10C11C69"/>
    <w:rsid w:val="10DD2E35"/>
    <w:rsid w:val="11536201"/>
    <w:rsid w:val="115D3DB9"/>
    <w:rsid w:val="11BD2BE2"/>
    <w:rsid w:val="11BE2038"/>
    <w:rsid w:val="11DC0AC4"/>
    <w:rsid w:val="11E2439D"/>
    <w:rsid w:val="12563B2D"/>
    <w:rsid w:val="129D4370"/>
    <w:rsid w:val="12A2571D"/>
    <w:rsid w:val="12A42EA7"/>
    <w:rsid w:val="12A506D3"/>
    <w:rsid w:val="13296CDD"/>
    <w:rsid w:val="134E7573"/>
    <w:rsid w:val="13890C2B"/>
    <w:rsid w:val="13A420AC"/>
    <w:rsid w:val="13C11723"/>
    <w:rsid w:val="13EB79B2"/>
    <w:rsid w:val="145B46D3"/>
    <w:rsid w:val="14C400FD"/>
    <w:rsid w:val="14F1297E"/>
    <w:rsid w:val="14F26225"/>
    <w:rsid w:val="15023387"/>
    <w:rsid w:val="15051B66"/>
    <w:rsid w:val="151414F9"/>
    <w:rsid w:val="15167847"/>
    <w:rsid w:val="154C7AB0"/>
    <w:rsid w:val="155F4281"/>
    <w:rsid w:val="15BC540D"/>
    <w:rsid w:val="15C64A64"/>
    <w:rsid w:val="15F7492E"/>
    <w:rsid w:val="16210B83"/>
    <w:rsid w:val="16583F2B"/>
    <w:rsid w:val="169D3E09"/>
    <w:rsid w:val="16AB3CAD"/>
    <w:rsid w:val="16E341B9"/>
    <w:rsid w:val="16F10A78"/>
    <w:rsid w:val="17226BDD"/>
    <w:rsid w:val="17446813"/>
    <w:rsid w:val="175B7C8D"/>
    <w:rsid w:val="177551EA"/>
    <w:rsid w:val="179B1D36"/>
    <w:rsid w:val="17AA51C2"/>
    <w:rsid w:val="17C079EC"/>
    <w:rsid w:val="17F76BA3"/>
    <w:rsid w:val="182A66F0"/>
    <w:rsid w:val="186A6524"/>
    <w:rsid w:val="186F767B"/>
    <w:rsid w:val="187F0353"/>
    <w:rsid w:val="188852B3"/>
    <w:rsid w:val="18E725C6"/>
    <w:rsid w:val="18FB3FC3"/>
    <w:rsid w:val="19444428"/>
    <w:rsid w:val="19553BF7"/>
    <w:rsid w:val="197008AF"/>
    <w:rsid w:val="19746F33"/>
    <w:rsid w:val="197E61C1"/>
    <w:rsid w:val="199565C0"/>
    <w:rsid w:val="19D74BC7"/>
    <w:rsid w:val="19FD49DB"/>
    <w:rsid w:val="1A041A8F"/>
    <w:rsid w:val="1A546A4C"/>
    <w:rsid w:val="1A6C3FF9"/>
    <w:rsid w:val="1A8948AE"/>
    <w:rsid w:val="1AAF33A8"/>
    <w:rsid w:val="1AB42370"/>
    <w:rsid w:val="1ACD09C2"/>
    <w:rsid w:val="1ACF1254"/>
    <w:rsid w:val="1AED5B63"/>
    <w:rsid w:val="1B462375"/>
    <w:rsid w:val="1B5E3B97"/>
    <w:rsid w:val="1BC5069A"/>
    <w:rsid w:val="1C392A3A"/>
    <w:rsid w:val="1C6465C0"/>
    <w:rsid w:val="1CB1322F"/>
    <w:rsid w:val="1D0723A1"/>
    <w:rsid w:val="1D3F332D"/>
    <w:rsid w:val="1D4D4A00"/>
    <w:rsid w:val="1DC4038A"/>
    <w:rsid w:val="1DF36090"/>
    <w:rsid w:val="1DFE25B1"/>
    <w:rsid w:val="1E511FFA"/>
    <w:rsid w:val="1E752FA2"/>
    <w:rsid w:val="1E993682"/>
    <w:rsid w:val="1EF77273"/>
    <w:rsid w:val="1F1B65D5"/>
    <w:rsid w:val="1F35289F"/>
    <w:rsid w:val="1F4E73A5"/>
    <w:rsid w:val="1F8E0A45"/>
    <w:rsid w:val="1FAB395F"/>
    <w:rsid w:val="1FB8538A"/>
    <w:rsid w:val="1FF16224"/>
    <w:rsid w:val="201572E0"/>
    <w:rsid w:val="20272451"/>
    <w:rsid w:val="203255D2"/>
    <w:rsid w:val="20403C64"/>
    <w:rsid w:val="205905F2"/>
    <w:rsid w:val="205B3801"/>
    <w:rsid w:val="207644C2"/>
    <w:rsid w:val="20A856C1"/>
    <w:rsid w:val="21A07B88"/>
    <w:rsid w:val="21D24208"/>
    <w:rsid w:val="225B68EA"/>
    <w:rsid w:val="226B2F60"/>
    <w:rsid w:val="22813299"/>
    <w:rsid w:val="23461CA8"/>
    <w:rsid w:val="238A1BAA"/>
    <w:rsid w:val="23900E62"/>
    <w:rsid w:val="23996C88"/>
    <w:rsid w:val="23BF3886"/>
    <w:rsid w:val="241A6B34"/>
    <w:rsid w:val="24285E2F"/>
    <w:rsid w:val="242A7B69"/>
    <w:rsid w:val="247622DE"/>
    <w:rsid w:val="2480482A"/>
    <w:rsid w:val="24A05D8E"/>
    <w:rsid w:val="24FC7C66"/>
    <w:rsid w:val="2519537A"/>
    <w:rsid w:val="258041F6"/>
    <w:rsid w:val="258609CC"/>
    <w:rsid w:val="25B02BA9"/>
    <w:rsid w:val="261B55F8"/>
    <w:rsid w:val="261D5675"/>
    <w:rsid w:val="269C7CAD"/>
    <w:rsid w:val="271B4DE1"/>
    <w:rsid w:val="272228DE"/>
    <w:rsid w:val="27443F4D"/>
    <w:rsid w:val="274B78E8"/>
    <w:rsid w:val="27602485"/>
    <w:rsid w:val="27CF15FE"/>
    <w:rsid w:val="27D42EE9"/>
    <w:rsid w:val="27E10A81"/>
    <w:rsid w:val="27FE6486"/>
    <w:rsid w:val="280B3F2E"/>
    <w:rsid w:val="28341F0D"/>
    <w:rsid w:val="2892323E"/>
    <w:rsid w:val="289361DE"/>
    <w:rsid w:val="291C5E47"/>
    <w:rsid w:val="296D2D47"/>
    <w:rsid w:val="29CB46C2"/>
    <w:rsid w:val="29DF72FA"/>
    <w:rsid w:val="29F77BA5"/>
    <w:rsid w:val="2A3A6E77"/>
    <w:rsid w:val="2A85024C"/>
    <w:rsid w:val="2B0D2F04"/>
    <w:rsid w:val="2B1D2572"/>
    <w:rsid w:val="2B206A2D"/>
    <w:rsid w:val="2B4C1179"/>
    <w:rsid w:val="2BAC5760"/>
    <w:rsid w:val="2BD60481"/>
    <w:rsid w:val="2BEA3FA7"/>
    <w:rsid w:val="2C2E44D4"/>
    <w:rsid w:val="2C3E7250"/>
    <w:rsid w:val="2C7B6C71"/>
    <w:rsid w:val="2D357F0D"/>
    <w:rsid w:val="2D4E604F"/>
    <w:rsid w:val="2D5C2AB0"/>
    <w:rsid w:val="2D7A20E6"/>
    <w:rsid w:val="2DC57805"/>
    <w:rsid w:val="2DC801AD"/>
    <w:rsid w:val="2DDF08DF"/>
    <w:rsid w:val="2DFF79D8"/>
    <w:rsid w:val="2E367C56"/>
    <w:rsid w:val="2E440885"/>
    <w:rsid w:val="2EEE512C"/>
    <w:rsid w:val="2F511B05"/>
    <w:rsid w:val="2F7C571D"/>
    <w:rsid w:val="2FA86B66"/>
    <w:rsid w:val="2FE823A5"/>
    <w:rsid w:val="2FEA1C57"/>
    <w:rsid w:val="300172B8"/>
    <w:rsid w:val="3009556D"/>
    <w:rsid w:val="30945277"/>
    <w:rsid w:val="30C71DD4"/>
    <w:rsid w:val="30DC7CB1"/>
    <w:rsid w:val="30ED30CC"/>
    <w:rsid w:val="31064141"/>
    <w:rsid w:val="31B477DB"/>
    <w:rsid w:val="31B67BE2"/>
    <w:rsid w:val="31CA71DD"/>
    <w:rsid w:val="324E5138"/>
    <w:rsid w:val="325251B2"/>
    <w:rsid w:val="328817F8"/>
    <w:rsid w:val="32A772DD"/>
    <w:rsid w:val="331E21CE"/>
    <w:rsid w:val="33562A0D"/>
    <w:rsid w:val="33715F28"/>
    <w:rsid w:val="33F07155"/>
    <w:rsid w:val="340C6245"/>
    <w:rsid w:val="343C4522"/>
    <w:rsid w:val="347A0336"/>
    <w:rsid w:val="34F92D63"/>
    <w:rsid w:val="35527F1F"/>
    <w:rsid w:val="357914C0"/>
    <w:rsid w:val="35977CFC"/>
    <w:rsid w:val="35D721CD"/>
    <w:rsid w:val="36174333"/>
    <w:rsid w:val="364A3F09"/>
    <w:rsid w:val="366E2A0B"/>
    <w:rsid w:val="367A501B"/>
    <w:rsid w:val="372D3763"/>
    <w:rsid w:val="37A3423F"/>
    <w:rsid w:val="37A66325"/>
    <w:rsid w:val="37AF435B"/>
    <w:rsid w:val="37B82B0E"/>
    <w:rsid w:val="37D8509F"/>
    <w:rsid w:val="380178E9"/>
    <w:rsid w:val="38363F4B"/>
    <w:rsid w:val="386866FF"/>
    <w:rsid w:val="38803663"/>
    <w:rsid w:val="389A539F"/>
    <w:rsid w:val="38B37216"/>
    <w:rsid w:val="38BD5C7F"/>
    <w:rsid w:val="38C5580C"/>
    <w:rsid w:val="38EC325F"/>
    <w:rsid w:val="39286E54"/>
    <w:rsid w:val="399117DD"/>
    <w:rsid w:val="39972637"/>
    <w:rsid w:val="39D7104B"/>
    <w:rsid w:val="39E04D90"/>
    <w:rsid w:val="3A3E0D9F"/>
    <w:rsid w:val="3A5573DE"/>
    <w:rsid w:val="3AAB1306"/>
    <w:rsid w:val="3ABD0173"/>
    <w:rsid w:val="3ACE23E2"/>
    <w:rsid w:val="3B227AA7"/>
    <w:rsid w:val="3B4241C0"/>
    <w:rsid w:val="3B5F0280"/>
    <w:rsid w:val="3BEE1D6F"/>
    <w:rsid w:val="3BF1473C"/>
    <w:rsid w:val="3CA475E5"/>
    <w:rsid w:val="3CA717F2"/>
    <w:rsid w:val="3CC56579"/>
    <w:rsid w:val="3D15291B"/>
    <w:rsid w:val="3DAB460B"/>
    <w:rsid w:val="3DDA7DB2"/>
    <w:rsid w:val="3DF2719F"/>
    <w:rsid w:val="3E342793"/>
    <w:rsid w:val="3E3C5235"/>
    <w:rsid w:val="3EA34B57"/>
    <w:rsid w:val="3EEF1E6E"/>
    <w:rsid w:val="3F654598"/>
    <w:rsid w:val="3F701801"/>
    <w:rsid w:val="40075616"/>
    <w:rsid w:val="40571F31"/>
    <w:rsid w:val="40760623"/>
    <w:rsid w:val="40771A54"/>
    <w:rsid w:val="408B7234"/>
    <w:rsid w:val="40E27AF7"/>
    <w:rsid w:val="40F80D82"/>
    <w:rsid w:val="41342A6B"/>
    <w:rsid w:val="414C7183"/>
    <w:rsid w:val="418D501C"/>
    <w:rsid w:val="41E9167B"/>
    <w:rsid w:val="42271497"/>
    <w:rsid w:val="42416B50"/>
    <w:rsid w:val="4262379E"/>
    <w:rsid w:val="427A1188"/>
    <w:rsid w:val="432A5E11"/>
    <w:rsid w:val="433B1167"/>
    <w:rsid w:val="435F500F"/>
    <w:rsid w:val="43C730CD"/>
    <w:rsid w:val="44A567F5"/>
    <w:rsid w:val="453B1EBC"/>
    <w:rsid w:val="45413E1D"/>
    <w:rsid w:val="45635AEC"/>
    <w:rsid w:val="45BA54FA"/>
    <w:rsid w:val="45EC74A5"/>
    <w:rsid w:val="45FA6B69"/>
    <w:rsid w:val="460414DD"/>
    <w:rsid w:val="46332B60"/>
    <w:rsid w:val="4654705C"/>
    <w:rsid w:val="468D2C1F"/>
    <w:rsid w:val="468D3CA5"/>
    <w:rsid w:val="46EA7997"/>
    <w:rsid w:val="470243E7"/>
    <w:rsid w:val="471F1498"/>
    <w:rsid w:val="47271944"/>
    <w:rsid w:val="475C4BFE"/>
    <w:rsid w:val="47BB044C"/>
    <w:rsid w:val="48262DE5"/>
    <w:rsid w:val="48397913"/>
    <w:rsid w:val="4949229C"/>
    <w:rsid w:val="49834851"/>
    <w:rsid w:val="49C0281D"/>
    <w:rsid w:val="49E449BF"/>
    <w:rsid w:val="49EC77B8"/>
    <w:rsid w:val="49ED5B1C"/>
    <w:rsid w:val="4AD45EF1"/>
    <w:rsid w:val="4ADD13CB"/>
    <w:rsid w:val="4AE04A18"/>
    <w:rsid w:val="4B337454"/>
    <w:rsid w:val="4B407CC6"/>
    <w:rsid w:val="4B42232B"/>
    <w:rsid w:val="4B464DA1"/>
    <w:rsid w:val="4B825A76"/>
    <w:rsid w:val="4B8B3702"/>
    <w:rsid w:val="4B9B0D7E"/>
    <w:rsid w:val="4BC83B65"/>
    <w:rsid w:val="4C1A1162"/>
    <w:rsid w:val="4C85389F"/>
    <w:rsid w:val="4CA74E41"/>
    <w:rsid w:val="4CA91B51"/>
    <w:rsid w:val="4CB62537"/>
    <w:rsid w:val="4CD2365B"/>
    <w:rsid w:val="4D352804"/>
    <w:rsid w:val="4D3D578E"/>
    <w:rsid w:val="4D636299"/>
    <w:rsid w:val="4D791805"/>
    <w:rsid w:val="4D8F2F88"/>
    <w:rsid w:val="4DB86BCB"/>
    <w:rsid w:val="4DD85058"/>
    <w:rsid w:val="4E0166A9"/>
    <w:rsid w:val="4E1551DB"/>
    <w:rsid w:val="4E7774D0"/>
    <w:rsid w:val="4F256EAD"/>
    <w:rsid w:val="4F594843"/>
    <w:rsid w:val="50172AB6"/>
    <w:rsid w:val="50286CDF"/>
    <w:rsid w:val="503C3BCC"/>
    <w:rsid w:val="505C4971"/>
    <w:rsid w:val="50C41CF1"/>
    <w:rsid w:val="51217DA6"/>
    <w:rsid w:val="51294703"/>
    <w:rsid w:val="51425A27"/>
    <w:rsid w:val="5158757E"/>
    <w:rsid w:val="521A5D1E"/>
    <w:rsid w:val="523624DE"/>
    <w:rsid w:val="52A23F56"/>
    <w:rsid w:val="52BA5471"/>
    <w:rsid w:val="52D871F4"/>
    <w:rsid w:val="52DF3F44"/>
    <w:rsid w:val="52F263D6"/>
    <w:rsid w:val="53024EB7"/>
    <w:rsid w:val="53261795"/>
    <w:rsid w:val="53953BE7"/>
    <w:rsid w:val="53E93AEB"/>
    <w:rsid w:val="53F51637"/>
    <w:rsid w:val="54124FEF"/>
    <w:rsid w:val="541C4B67"/>
    <w:rsid w:val="552A2893"/>
    <w:rsid w:val="556B045B"/>
    <w:rsid w:val="557D4E77"/>
    <w:rsid w:val="55C375DD"/>
    <w:rsid w:val="56156439"/>
    <w:rsid w:val="56283162"/>
    <w:rsid w:val="56643532"/>
    <w:rsid w:val="568B5A7B"/>
    <w:rsid w:val="56EF4D06"/>
    <w:rsid w:val="570A6E63"/>
    <w:rsid w:val="573B0118"/>
    <w:rsid w:val="573D2268"/>
    <w:rsid w:val="57411925"/>
    <w:rsid w:val="57441E32"/>
    <w:rsid w:val="57535542"/>
    <w:rsid w:val="575B3098"/>
    <w:rsid w:val="577F2D1A"/>
    <w:rsid w:val="57F55B90"/>
    <w:rsid w:val="580F191D"/>
    <w:rsid w:val="58276F84"/>
    <w:rsid w:val="58584813"/>
    <w:rsid w:val="58884147"/>
    <w:rsid w:val="58B728A2"/>
    <w:rsid w:val="58B868EB"/>
    <w:rsid w:val="590D059A"/>
    <w:rsid w:val="592802C2"/>
    <w:rsid w:val="5978735A"/>
    <w:rsid w:val="59A13904"/>
    <w:rsid w:val="59D37462"/>
    <w:rsid w:val="59E42114"/>
    <w:rsid w:val="59E710C8"/>
    <w:rsid w:val="59F34F80"/>
    <w:rsid w:val="5A1C59A1"/>
    <w:rsid w:val="5A386EB4"/>
    <w:rsid w:val="5A407674"/>
    <w:rsid w:val="5A432974"/>
    <w:rsid w:val="5A6A20C5"/>
    <w:rsid w:val="5AD64AF2"/>
    <w:rsid w:val="5AF23288"/>
    <w:rsid w:val="5B544EB3"/>
    <w:rsid w:val="5B6A33DD"/>
    <w:rsid w:val="5BBF36FA"/>
    <w:rsid w:val="5BF04FFA"/>
    <w:rsid w:val="5C045A62"/>
    <w:rsid w:val="5C4D2649"/>
    <w:rsid w:val="5C8D6CFF"/>
    <w:rsid w:val="5C966EB6"/>
    <w:rsid w:val="5CB9068F"/>
    <w:rsid w:val="5D013462"/>
    <w:rsid w:val="5D3351AF"/>
    <w:rsid w:val="5D604E0E"/>
    <w:rsid w:val="5D656BAA"/>
    <w:rsid w:val="5D6672E4"/>
    <w:rsid w:val="5D6B7BC6"/>
    <w:rsid w:val="5D6C21B2"/>
    <w:rsid w:val="5DBF6011"/>
    <w:rsid w:val="5DC13CCC"/>
    <w:rsid w:val="5DC35118"/>
    <w:rsid w:val="5DC55564"/>
    <w:rsid w:val="5DDA5570"/>
    <w:rsid w:val="5DE86882"/>
    <w:rsid w:val="5E0D6E91"/>
    <w:rsid w:val="5E264AF8"/>
    <w:rsid w:val="5E3B413F"/>
    <w:rsid w:val="5E971B73"/>
    <w:rsid w:val="5EA12B9A"/>
    <w:rsid w:val="5EB61B43"/>
    <w:rsid w:val="5EBA7075"/>
    <w:rsid w:val="5EBF5DC8"/>
    <w:rsid w:val="5F02275D"/>
    <w:rsid w:val="5F14059B"/>
    <w:rsid w:val="5F291E1B"/>
    <w:rsid w:val="5F551AC0"/>
    <w:rsid w:val="5F616E2A"/>
    <w:rsid w:val="5FE015B4"/>
    <w:rsid w:val="600754B6"/>
    <w:rsid w:val="6018182B"/>
    <w:rsid w:val="601E0F43"/>
    <w:rsid w:val="60596F8D"/>
    <w:rsid w:val="608075E1"/>
    <w:rsid w:val="61326FB1"/>
    <w:rsid w:val="61384C31"/>
    <w:rsid w:val="61E77A7E"/>
    <w:rsid w:val="61F16F63"/>
    <w:rsid w:val="622A4138"/>
    <w:rsid w:val="62385483"/>
    <w:rsid w:val="62385A6C"/>
    <w:rsid w:val="626F54FE"/>
    <w:rsid w:val="62876D77"/>
    <w:rsid w:val="62CA4AF4"/>
    <w:rsid w:val="62E4371E"/>
    <w:rsid w:val="632045D1"/>
    <w:rsid w:val="6342544F"/>
    <w:rsid w:val="63720424"/>
    <w:rsid w:val="63A31ABC"/>
    <w:rsid w:val="63C65078"/>
    <w:rsid w:val="63EA156F"/>
    <w:rsid w:val="63EA6D88"/>
    <w:rsid w:val="64621F9C"/>
    <w:rsid w:val="64A537DD"/>
    <w:rsid w:val="64B45425"/>
    <w:rsid w:val="64B96E85"/>
    <w:rsid w:val="64BB6795"/>
    <w:rsid w:val="64D069A0"/>
    <w:rsid w:val="64F27E75"/>
    <w:rsid w:val="65067C78"/>
    <w:rsid w:val="65155A1F"/>
    <w:rsid w:val="653C2C5E"/>
    <w:rsid w:val="65662197"/>
    <w:rsid w:val="656B5D01"/>
    <w:rsid w:val="658C79F9"/>
    <w:rsid w:val="65A33DF6"/>
    <w:rsid w:val="65BE04E1"/>
    <w:rsid w:val="65F429F0"/>
    <w:rsid w:val="665A6FDB"/>
    <w:rsid w:val="66B368AE"/>
    <w:rsid w:val="66B532F3"/>
    <w:rsid w:val="66C2760F"/>
    <w:rsid w:val="675A3B6C"/>
    <w:rsid w:val="67AF7DB6"/>
    <w:rsid w:val="680564C6"/>
    <w:rsid w:val="681B3F7A"/>
    <w:rsid w:val="68233428"/>
    <w:rsid w:val="6827495B"/>
    <w:rsid w:val="6844529D"/>
    <w:rsid w:val="68B54AF7"/>
    <w:rsid w:val="68CA009F"/>
    <w:rsid w:val="695B5920"/>
    <w:rsid w:val="69B35A0D"/>
    <w:rsid w:val="69CC607C"/>
    <w:rsid w:val="69EA1163"/>
    <w:rsid w:val="69F96768"/>
    <w:rsid w:val="6A287F98"/>
    <w:rsid w:val="6AB40496"/>
    <w:rsid w:val="6ABD1D5E"/>
    <w:rsid w:val="6AF33939"/>
    <w:rsid w:val="6B795D62"/>
    <w:rsid w:val="6B910AA0"/>
    <w:rsid w:val="6BC747F5"/>
    <w:rsid w:val="6BD35CE4"/>
    <w:rsid w:val="6C3014BE"/>
    <w:rsid w:val="6C5D414F"/>
    <w:rsid w:val="6C761A36"/>
    <w:rsid w:val="6CA324B4"/>
    <w:rsid w:val="6CDE17FD"/>
    <w:rsid w:val="6D1D2C91"/>
    <w:rsid w:val="6D232D3C"/>
    <w:rsid w:val="6D2F5D1E"/>
    <w:rsid w:val="6D792112"/>
    <w:rsid w:val="6D9B1357"/>
    <w:rsid w:val="6E641038"/>
    <w:rsid w:val="6EBD0EA6"/>
    <w:rsid w:val="6F435405"/>
    <w:rsid w:val="6F4810D8"/>
    <w:rsid w:val="6F6D2BAA"/>
    <w:rsid w:val="6F8F1120"/>
    <w:rsid w:val="6F9A4A47"/>
    <w:rsid w:val="6FD909A9"/>
    <w:rsid w:val="701710D0"/>
    <w:rsid w:val="70607590"/>
    <w:rsid w:val="70795456"/>
    <w:rsid w:val="709946EC"/>
    <w:rsid w:val="72702455"/>
    <w:rsid w:val="728F2E47"/>
    <w:rsid w:val="72973011"/>
    <w:rsid w:val="72E42D1B"/>
    <w:rsid w:val="731254DC"/>
    <w:rsid w:val="73381E5F"/>
    <w:rsid w:val="734F0911"/>
    <w:rsid w:val="736054C4"/>
    <w:rsid w:val="736C572D"/>
    <w:rsid w:val="73A422EB"/>
    <w:rsid w:val="74103E55"/>
    <w:rsid w:val="745B622A"/>
    <w:rsid w:val="753E2D2E"/>
    <w:rsid w:val="75DB13A5"/>
    <w:rsid w:val="75E552E3"/>
    <w:rsid w:val="75EC38CD"/>
    <w:rsid w:val="76174057"/>
    <w:rsid w:val="7648538B"/>
    <w:rsid w:val="76577132"/>
    <w:rsid w:val="76BD747C"/>
    <w:rsid w:val="76CD52EB"/>
    <w:rsid w:val="76FE004A"/>
    <w:rsid w:val="77462C4C"/>
    <w:rsid w:val="77A268F6"/>
    <w:rsid w:val="77CC3658"/>
    <w:rsid w:val="780F54C3"/>
    <w:rsid w:val="782C6CF7"/>
    <w:rsid w:val="78680ECD"/>
    <w:rsid w:val="7880670B"/>
    <w:rsid w:val="78EE7F5B"/>
    <w:rsid w:val="78F11CE1"/>
    <w:rsid w:val="78F66955"/>
    <w:rsid w:val="79053EDA"/>
    <w:rsid w:val="79097264"/>
    <w:rsid w:val="791D3993"/>
    <w:rsid w:val="79202162"/>
    <w:rsid w:val="7924138B"/>
    <w:rsid w:val="7938460C"/>
    <w:rsid w:val="79826449"/>
    <w:rsid w:val="79D339B9"/>
    <w:rsid w:val="7A200C95"/>
    <w:rsid w:val="7A594332"/>
    <w:rsid w:val="7A8564DB"/>
    <w:rsid w:val="7AB3096A"/>
    <w:rsid w:val="7AC22B97"/>
    <w:rsid w:val="7ACB083F"/>
    <w:rsid w:val="7B1F77A4"/>
    <w:rsid w:val="7B292799"/>
    <w:rsid w:val="7B593EC6"/>
    <w:rsid w:val="7BEE23EC"/>
    <w:rsid w:val="7C090682"/>
    <w:rsid w:val="7C4E6027"/>
    <w:rsid w:val="7C6A6CA8"/>
    <w:rsid w:val="7CC41AB2"/>
    <w:rsid w:val="7CF04E00"/>
    <w:rsid w:val="7D0B04E5"/>
    <w:rsid w:val="7D41026F"/>
    <w:rsid w:val="7D59343F"/>
    <w:rsid w:val="7E0A78B3"/>
    <w:rsid w:val="7E2912F3"/>
    <w:rsid w:val="7F9026D0"/>
    <w:rsid w:val="7F984417"/>
    <w:rsid w:val="7FD91DE8"/>
    <w:rsid w:val="7FDB730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0"/>
    <w:pPr>
      <w:spacing w:before="25" w:after="25"/>
    </w:pPr>
    <w:rPr>
      <w:bCs/>
      <w:spacing w:val="10"/>
    </w:rPr>
  </w:style>
  <w:style w:type="paragraph" w:styleId="3">
    <w:name w:val="Body Text Indent"/>
    <w:basedOn w:val="1"/>
    <w:qFormat/>
    <w:uiPriority w:val="0"/>
    <w:pPr>
      <w:ind w:left="420" w:firstLine="744"/>
    </w:pPr>
    <w:rPr>
      <w:rFonts w:ascii="宋体" w:hAnsi="宋体"/>
      <w:szCs w:val="24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 2"/>
    <w:basedOn w:val="3"/>
    <w:unhideWhenUsed/>
    <w:qFormat/>
    <w:uiPriority w:val="99"/>
    <w:pPr>
      <w:tabs>
        <w:tab w:val="left" w:pos="540"/>
      </w:tabs>
      <w:ind w:firstLine="420" w:firstLineChars="200"/>
    </w:p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10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1438</Words>
  <Characters>8197</Characters>
  <Lines>68</Lines>
  <Paragraphs>19</Paragraphs>
  <TotalTime>111</TotalTime>
  <ScaleCrop>false</ScaleCrop>
  <LinksUpToDate>false</LinksUpToDate>
  <CharactersWithSpaces>9616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2015-06-17T12:51:00Z</dcterms:created>
  <dc:creator>微软用户</dc:creator>
  <cp:lastModifiedBy>肖新龙</cp:lastModifiedBy>
  <dcterms:modified xsi:type="dcterms:W3CDTF">2022-11-10T02:48:01Z</dcterms:modified>
  <cp:revision>108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FD80CA7ECCCE4F4FBA9F42EC26D52546</vt:lpwstr>
  </property>
</Properties>
</file>